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xmlns:wp14="http://schemas.microsoft.com/office/word/2010/wordml" w:rsidP="7CD6FFE6" wp14:paraId="270E0622" wp14:textId="2767888F">
      <w:pPr>
        <w:spacing w:before="0" w:beforeAutospacing="off" w:after="160" w:afterAutospacing="off" w:line="257" w:lineRule="auto"/>
      </w:pPr>
      <w:r w:rsidRPr="7CD6FFE6" w:rsidR="7CD6FFE6">
        <w:rPr>
          <w:rFonts w:ascii="Aptos" w:hAnsi="Aptos" w:eastAsia="Aptos" w:cs="Aptos"/>
          <w:b w:val="1"/>
          <w:bCs w:val="1"/>
          <w:noProof w:val="0"/>
          <w:sz w:val="24"/>
          <w:szCs w:val="24"/>
          <w:lang w:val="en-US"/>
        </w:rPr>
        <w:t>Houston Community Colleges</w:t>
      </w:r>
    </w:p>
    <w:p xmlns:wp14="http://schemas.microsoft.com/office/word/2010/wordml" w:rsidP="7CD6FFE6" wp14:paraId="41820108" wp14:textId="338C2092">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Given that the majority of healthcare programs at 2-year colleges are accredited by third parties, it is crucial to address the extensive accreditation requirements to facilitate a strategic conversation on mitigating the state's healthcare workforce shortage without compromising program quality. Additionally, it is important to educate the public about the wide range of healthcare professions beyond nurses and doctors (rebranding the healthcare industry with more informative information). Furthermore, healthcare programs at 2-year colleges with clinical rotations should offer paid opportunities to attract more prospective students to complete their programs. The Task Force also needs to investigate why some healthcare facilities in Texas charge students for clinical placements, as this can become a burden on both the colleges and the students.</w:t>
      </w:r>
    </w:p>
    <w:p xmlns:wp14="http://schemas.microsoft.com/office/word/2010/wordml" w:rsidP="7CD6FFE6" wp14:paraId="566DC986" wp14:textId="3355ED50">
      <w:pPr>
        <w:spacing w:before="0" w:beforeAutospacing="off" w:after="160" w:afterAutospacing="off" w:line="257" w:lineRule="auto"/>
      </w:pPr>
      <w:r w:rsidRPr="7CD6FFE6" w:rsidR="7CD6FFE6">
        <w:rPr>
          <w:rFonts w:ascii="Aptos" w:hAnsi="Aptos" w:eastAsia="Aptos" w:cs="Aptos"/>
          <w:noProof w:val="0"/>
          <w:sz w:val="24"/>
          <w:szCs w:val="24"/>
          <w:lang w:val="en-US"/>
        </w:rPr>
        <w:t xml:space="preserve"> </w:t>
      </w:r>
    </w:p>
    <w:p xmlns:wp14="http://schemas.microsoft.com/office/word/2010/wordml" w:rsidP="7CD6FFE6" wp14:paraId="249B9A23" wp14:textId="01237F04">
      <w:pPr>
        <w:spacing w:before="0" w:beforeAutospacing="off" w:after="160" w:afterAutospacing="off" w:line="257" w:lineRule="auto"/>
      </w:pPr>
      <w:r w:rsidRPr="7CD6FFE6" w:rsidR="7CD6FFE6">
        <w:rPr>
          <w:rFonts w:ascii="Aptos" w:hAnsi="Aptos" w:eastAsia="Aptos" w:cs="Aptos"/>
          <w:b w:val="1"/>
          <w:bCs w:val="1"/>
          <w:noProof w:val="0"/>
          <w:sz w:val="24"/>
          <w:szCs w:val="24"/>
          <w:lang w:val="en-US"/>
        </w:rPr>
        <w:t>Victoria College</w:t>
      </w:r>
    </w:p>
    <w:p xmlns:wp14="http://schemas.microsoft.com/office/word/2010/wordml" w:rsidP="7CD6FFE6" wp14:paraId="393294AA" wp14:textId="43FAC4E3">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As institutions responsible for the workforce needs of the local communities, Texas community colleges recognize it is our responsibility to be a solution provider to the nursing shortage facing our state. As of today, 49 of the 50 Texas community colleges offer a variety of nursing education programs. However, as nursing programs continue to grow, the constraints and concern for already limited clinical spaces increases.  Two years ago, Victoria College faced this very issue when Jersey College, an out-of-state, for-profit nursing school, partnered with Community Health Systems, the Tennessee-based parent company of seven Texas hospitals, including one in the Victoria region. Their corporate strategy was to open a Jersey College site in Victoria for 144 students and buy clinical space across the area, which would displace the students in existing programs that depend on those spots to complete their education.  Further, the Jersey College students in that program would then be contractually bound to work exclusively for CHS hospitals, depleting the local workforce and causing harm to regional healthcare providers. Programs like these will not result in additional nurses and actually work counter to the vision of creating a Talent Strong Texas.  </w:t>
      </w:r>
    </w:p>
    <w:p xmlns:wp14="http://schemas.microsoft.com/office/word/2010/wordml" w:rsidP="7CD6FFE6" wp14:paraId="73A9D7E7" wp14:textId="4DE8D81E">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 </w:t>
      </w:r>
    </w:p>
    <w:p xmlns:wp14="http://schemas.microsoft.com/office/word/2010/wordml" w:rsidP="7CD6FFE6" wp14:paraId="26E29122" wp14:textId="16D97432">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Meanwhile, graduates from our program at Victoria College have a strong track record of remaining in our community and region, serving as an important lifeline to the rural health workforce. Since then, I have learned that there is no mechanism in place to prevent an out-of-state program from entering and supplanting existing state-supported clinical spaces. This problem is not unique to the Victoria region.  </w:t>
      </w:r>
    </w:p>
    <w:p xmlns:wp14="http://schemas.microsoft.com/office/word/2010/wordml" w:rsidP="7CD6FFE6" wp14:paraId="63282ECE" wp14:textId="3B218EC0">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 </w:t>
      </w:r>
    </w:p>
    <w:p xmlns:wp14="http://schemas.microsoft.com/office/word/2010/wordml" w:rsidP="7CD6FFE6" wp14:paraId="7F8E32D3" wp14:textId="73763DBD">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In a survey conducted by the Texas Association of Community Colleges, 32 of 46 community colleges – 70 percent – reported they had experienced problems with acquiring and/or maintaining clinical sites for their nursing students. The colleges that reported experiencing this problem included institutions in both urban and rural areas of the state, as well as institutions ranging in enrollment size from small to very large. During the 87th legislative session, we also heard from many universities that they were also in danger of losing clinical space due to for-profit encroachment.   Fortunately, the Victoria community rallied together to thwart the efforts of Jersey College from entering including strong action from local and state elected officials, as well as regional healthcare representatives. Senator Lois Kolkhorst, Chair of the Health and Human Services Committee, championed our cause on behalf of all Texas Higher Education. Ultimately, SB 458 did not make it through the House in time to be considered by Governor Abbott, leaving Texas institutions vulnerable from further encroachment. Our efforts did, however, bring attention to the issue across the state. Multiple organizations supported the work to protect clinical space including TACC, who adopted the issue as a legislative priority.   Victoria College and all Texas community colleges remain committed to offering affordable, high quality nursing education so that our graduates can remain and work in Texas and in their local communities, but we need help in ensuring the clinical space remains available to us. </w:t>
      </w:r>
    </w:p>
    <w:p xmlns:wp14="http://schemas.microsoft.com/office/word/2010/wordml" w:rsidP="7CD6FFE6" wp14:paraId="51D5DD48" wp14:textId="15BA9CBC">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 </w:t>
      </w:r>
    </w:p>
    <w:p xmlns:wp14="http://schemas.microsoft.com/office/word/2010/wordml" w:rsidP="7CD6FFE6" wp14:paraId="34BCF903" wp14:textId="047742C6">
      <w:pPr>
        <w:spacing w:before="240" w:beforeAutospacing="off" w:after="0" w:afterAutospacing="off"/>
      </w:pPr>
      <w:r w:rsidRPr="7CD6FFE6" w:rsidR="7CD6FFE6">
        <w:rPr>
          <w:rFonts w:ascii="Aptos" w:hAnsi="Aptos" w:eastAsia="Aptos" w:cs="Aptos"/>
          <w:b w:val="1"/>
          <w:bCs w:val="1"/>
          <w:noProof w:val="0"/>
          <w:color w:val="000000" w:themeColor="text1" w:themeTint="FF" w:themeShade="FF"/>
          <w:sz w:val="24"/>
          <w:szCs w:val="24"/>
          <w:lang w:val="en-US"/>
        </w:rPr>
        <w:t>Texas Coalition for Healthy Minds</w:t>
      </w:r>
    </w:p>
    <w:p xmlns:wp14="http://schemas.microsoft.com/office/word/2010/wordml" w:rsidP="7CD6FFE6" wp14:paraId="04F11987" wp14:textId="72E163C6">
      <w:pPr>
        <w:spacing w:before="24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The Texas Coalition for Healthy Minds (TCHM) was founded in 2015 to enhance policy collaboration for a greater collective impact in the Texas Legislature. Now, with over 35 member organizations taking part in TCHM workgroups, our goal is to collaborate with Texas lawmakers to advance policies that increase funding and opportunities to access mental health and substance abuse services for all Texans.  We appreciate the efforts of Governor Greg Abbott to establish a Healthcare Workforce Task Force to address the healthcare workforce shortage. </w:t>
      </w:r>
    </w:p>
    <w:p xmlns:wp14="http://schemas.microsoft.com/office/word/2010/wordml" w:rsidP="7CD6FFE6" wp14:paraId="57696600" wp14:textId="0C0386F6">
      <w:pPr>
        <w:spacing w:before="24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Workforce-focused initiatives are indispensable when tackling the growing demand for mental health and substance use services across Texans. We are grateful for the opportunity to provide essential feedback to advance behavioral health outcomes for all Texans.  The mental health and substance use workforce shortage in Texas is a persistent obstacle that Texans face when trying to access timely and medically-necessary services. This shortage spans across the entire spectrum of providers and is prevalent throughout the state, with significant challenges in rural and frontier communities. Despite legislative efforts at both state and federal legislative levels, as well as robust advocacy endeavors, 246 out of 254 counties in Texas remain designated as a mental health professional shortage area.  </w:t>
      </w:r>
    </w:p>
    <w:p xmlns:wp14="http://schemas.microsoft.com/office/word/2010/wordml" w:rsidP="7CD6FFE6" wp14:paraId="41C762A0" wp14:textId="6D949327">
      <w:pPr>
        <w:spacing w:before="240" w:beforeAutospacing="off" w:after="0" w:afterAutospacing="off"/>
      </w:pPr>
      <w:r w:rsidRPr="7CD6FFE6" w:rsidR="7CD6FFE6">
        <w:rPr>
          <w:rFonts w:ascii="Aptos" w:hAnsi="Aptos" w:eastAsia="Aptos" w:cs="Aptos"/>
          <w:noProof w:val="0"/>
          <w:color w:val="000000" w:themeColor="text1" w:themeTint="FF" w:themeShade="FF"/>
          <w:sz w:val="24"/>
          <w:szCs w:val="24"/>
          <w:lang w:val="en-US"/>
        </w:rPr>
        <w:t>TCHM recognizes the complex nature of workforce challenges, thus recommends three first steps to make an immediate impact on growing and sustaining the mental health and substance use workforce:</w:t>
      </w:r>
    </w:p>
    <w:p xmlns:wp14="http://schemas.microsoft.com/office/word/2010/wordml" w:rsidP="7CD6FFE6" wp14:paraId="494AC5AD" wp14:textId="7376E476">
      <w:pPr>
        <w:pStyle w:val="ListParagraph"/>
        <w:numPr>
          <w:ilvl w:val="0"/>
          <w:numId w:val="6"/>
        </w:numPr>
        <w:spacing w:before="240" w:beforeAutospacing="off" w:after="0" w:afterAutospacing="off"/>
        <w:rPr>
          <w:rFonts w:ascii="Aptos" w:hAnsi="Aptos" w:eastAsia="Aptos" w:cs="Aptos"/>
          <w:noProof w:val="0"/>
          <w:color w:val="000000" w:themeColor="text1" w:themeTint="FF" w:themeShade="FF"/>
          <w:sz w:val="24"/>
          <w:szCs w:val="24"/>
          <w:lang w:val="en-US"/>
        </w:rPr>
      </w:pPr>
      <w:r w:rsidRPr="7CD6FFE6" w:rsidR="7CD6FFE6">
        <w:rPr>
          <w:rFonts w:ascii="Aptos" w:hAnsi="Aptos" w:eastAsia="Aptos" w:cs="Aptos"/>
          <w:noProof w:val="0"/>
          <w:color w:val="000000" w:themeColor="text1" w:themeTint="FF" w:themeShade="FF"/>
          <w:sz w:val="24"/>
          <w:szCs w:val="24"/>
          <w:lang w:val="en-US"/>
        </w:rPr>
        <w:t xml:space="preserve"> Allow Licensed Master Social Workers (LMSW), Licensed Professional Counselor-Associates (LPC-A), and Licensed Marriage and Family Therapist-Associates (LMFT-A), the ability to bill Medicaid for the counseling benefit. These providers have completed the requirements for licensure, are allowed to practice independently and simply need 3,000 hours of supervised practice. HB 1879 (88R) was filed to address the mental healthcare gap with support from TCHM and many other stakeholders. The bill proposed allowing LMSW, LPC-A, and LMFT-A practitioners to bill Medicaid counseling at a 50% rate. The 2020 Health and Human Services Commission (HHSC) Behavioral Health Workforce Report identified this initiative as the crucial step towards expanding our mental health workforce. There was substantial support from mental health and substance use organizations and key legislators, yet it was not advanced during the Senate hearing. We recommend that Texas adopts Medicaid policies enabling these providers to bill Medicaid counseling to increase the availability of services and to enable these providers to more easily obtain supervised work placements.   </w:t>
      </w:r>
    </w:p>
    <w:p xmlns:wp14="http://schemas.microsoft.com/office/word/2010/wordml" w:rsidP="7CD6FFE6" wp14:paraId="63EF4514" wp14:textId="50AF3850">
      <w:pPr>
        <w:pStyle w:val="ListParagraph"/>
        <w:spacing w:before="240" w:beforeAutospacing="off" w:after="0" w:afterAutospacing="off"/>
        <w:ind w:left="720" w:hanging="0"/>
        <w:rPr>
          <w:rFonts w:ascii="Aptos" w:hAnsi="Aptos" w:eastAsia="Aptos" w:cs="Aptos"/>
          <w:noProof w:val="0"/>
          <w:color w:val="000000" w:themeColor="text1" w:themeTint="FF" w:themeShade="FF"/>
          <w:sz w:val="24"/>
          <w:szCs w:val="24"/>
          <w:lang w:val="en-US"/>
        </w:rPr>
      </w:pPr>
    </w:p>
    <w:p xmlns:wp14="http://schemas.microsoft.com/office/word/2010/wordml" w:rsidP="7CD6FFE6" wp14:paraId="1D48122B" wp14:textId="1045222C">
      <w:pPr>
        <w:pStyle w:val="ListParagraph"/>
        <w:numPr>
          <w:ilvl w:val="0"/>
          <w:numId w:val="6"/>
        </w:numPr>
        <w:spacing w:before="240" w:beforeAutospacing="off" w:after="0" w:afterAutospacing="off"/>
        <w:rPr>
          <w:rFonts w:ascii="Aptos" w:hAnsi="Aptos" w:eastAsia="Aptos" w:cs="Aptos"/>
          <w:noProof w:val="0"/>
          <w:color w:val="000000" w:themeColor="text1" w:themeTint="FF" w:themeShade="FF"/>
          <w:sz w:val="24"/>
          <w:szCs w:val="24"/>
          <w:lang w:val="en-US"/>
        </w:rPr>
      </w:pPr>
      <w:r w:rsidRPr="7CD6FFE6" w:rsidR="7CD6FFE6">
        <w:rPr>
          <w:rFonts w:ascii="Aptos" w:hAnsi="Aptos" w:eastAsia="Aptos" w:cs="Aptos"/>
          <w:noProof w:val="0"/>
          <w:color w:val="000000" w:themeColor="text1" w:themeTint="FF" w:themeShade="FF"/>
          <w:sz w:val="24"/>
          <w:szCs w:val="24"/>
          <w:lang w:val="en-US"/>
        </w:rPr>
        <w:t xml:space="preserve">Include funding in the HHSC budget specifically allocated for Medicaid billing in order to improve access to mental health services across Texas.  </w:t>
      </w:r>
    </w:p>
    <w:p xmlns:wp14="http://schemas.microsoft.com/office/word/2010/wordml" w:rsidP="7CD6FFE6" wp14:paraId="35627D13" wp14:textId="56877424">
      <w:pPr>
        <w:pStyle w:val="ListParagraph"/>
        <w:spacing w:before="240" w:beforeAutospacing="off" w:after="0" w:afterAutospacing="off"/>
        <w:ind w:left="720" w:hanging="0"/>
        <w:rPr>
          <w:rFonts w:ascii="Aptos" w:hAnsi="Aptos" w:eastAsia="Aptos" w:cs="Aptos"/>
          <w:noProof w:val="0"/>
          <w:color w:val="000000" w:themeColor="text1" w:themeTint="FF" w:themeShade="FF"/>
          <w:sz w:val="24"/>
          <w:szCs w:val="24"/>
          <w:lang w:val="en-US"/>
        </w:rPr>
      </w:pPr>
    </w:p>
    <w:p xmlns:wp14="http://schemas.microsoft.com/office/word/2010/wordml" w:rsidP="7CD6FFE6" wp14:paraId="46937CA9" wp14:textId="374A1FE5">
      <w:pPr>
        <w:pStyle w:val="ListParagraph"/>
        <w:numPr>
          <w:ilvl w:val="0"/>
          <w:numId w:val="6"/>
        </w:numPr>
        <w:spacing w:before="240" w:beforeAutospacing="off" w:after="0" w:afterAutospacing="off"/>
        <w:rPr>
          <w:rFonts w:ascii="Aptos" w:hAnsi="Aptos" w:eastAsia="Aptos" w:cs="Aptos"/>
          <w:noProof w:val="0"/>
          <w:color w:val="000000" w:themeColor="text1" w:themeTint="FF" w:themeShade="FF"/>
          <w:sz w:val="24"/>
          <w:szCs w:val="24"/>
          <w:lang w:val="en-US"/>
        </w:rPr>
      </w:pPr>
      <w:r w:rsidRPr="7CD6FFE6" w:rsidR="7CD6FFE6">
        <w:rPr>
          <w:rFonts w:ascii="Aptos" w:hAnsi="Aptos" w:eastAsia="Aptos" w:cs="Aptos"/>
          <w:noProof w:val="0"/>
          <w:color w:val="000000" w:themeColor="text1" w:themeTint="FF" w:themeShade="FF"/>
          <w:sz w:val="24"/>
          <w:szCs w:val="24"/>
          <w:lang w:val="en-US"/>
        </w:rPr>
        <w:t xml:space="preserve">Fund the Behavioral Health Innovation Grant created through HB 400 (88R, Klick/Kolkhorst). Another key legislative effort, HB 400 was signed into law and established two grant programs in efforts to bridge the expansive mental health workforce gap: the Behavioral Health Innovation Grant Program and the Psychiatric Specialty Innovation Grant Program. The Psychiatric Specialty Innovation Grant Program was funded at $5 million to award incentive payments to increase adult or pediatric psychiatric care practitioners. However, the Behavioral Health Innovation Grant program was not included in the final budget. If fully operationalized and funded, the grant program would incentivize institutions of higher education to develop innovative recruitment, training, and retention programs designed to increase the number of mental health professionals statewide. Both programs are critical to the advancing of our mental health infrastructure and require adequate funding to achieve their intended goals.  Thank you for considering these recommendations to strengthen the mental health and substance use workforce in Texas. </w:t>
      </w:r>
    </w:p>
    <w:p xmlns:wp14="http://schemas.microsoft.com/office/word/2010/wordml" w:rsidP="7CD6FFE6" wp14:paraId="08532C16" wp14:textId="02E5889D">
      <w:pPr>
        <w:spacing w:before="0" w:beforeAutospacing="off" w:after="160" w:afterAutospacing="off" w:line="257" w:lineRule="auto"/>
      </w:pPr>
      <w:r w:rsidRPr="7CD6FFE6" w:rsidR="7CD6FFE6">
        <w:rPr>
          <w:rFonts w:ascii="Aptos" w:hAnsi="Aptos" w:eastAsia="Aptos" w:cs="Aptos"/>
          <w:noProof w:val="0"/>
          <w:sz w:val="24"/>
          <w:szCs w:val="24"/>
          <w:lang w:val="en-US"/>
        </w:rPr>
        <w:t xml:space="preserve"> </w:t>
      </w:r>
    </w:p>
    <w:p xmlns:wp14="http://schemas.microsoft.com/office/word/2010/wordml" w:rsidP="7CD6FFE6" wp14:paraId="6799315A" wp14:textId="35B967FB">
      <w:pPr>
        <w:spacing w:before="0" w:beforeAutospacing="off" w:after="160" w:afterAutospacing="off" w:line="257" w:lineRule="auto"/>
      </w:pPr>
      <w:r w:rsidRPr="7CD6FFE6" w:rsidR="7CD6FFE6">
        <w:rPr>
          <w:rFonts w:ascii="Aptos" w:hAnsi="Aptos" w:eastAsia="Aptos" w:cs="Aptos"/>
          <w:b w:val="1"/>
          <w:bCs w:val="1"/>
          <w:noProof w:val="0"/>
          <w:sz w:val="24"/>
          <w:szCs w:val="24"/>
          <w:lang w:val="en-US"/>
        </w:rPr>
        <w:t>Hogg Foundation for Mental Health</w:t>
      </w:r>
    </w:p>
    <w:p xmlns:wp14="http://schemas.microsoft.com/office/word/2010/wordml" w:rsidP="7CD6FFE6" wp14:paraId="76B7FA03" wp14:textId="571C7FC0">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The Hogg Foundation for Mental Health was established in 1940 by the children of Texas Governor James Hogg through an endowment to UT-Austin. Based on the Foundation’s vision that the “people of Texas thrive in communities that support mental health and well-being,” we make the following recommendations regarding the behavioral health workforce for your consideration.        </w:t>
      </w:r>
    </w:p>
    <w:p xmlns:wp14="http://schemas.microsoft.com/office/word/2010/wordml" w:rsidP="7CD6FFE6" wp14:paraId="245D3729" wp14:textId="1E84CFF9">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 </w:t>
      </w:r>
    </w:p>
    <w:p xmlns:wp14="http://schemas.microsoft.com/office/word/2010/wordml" w:rsidP="7CD6FFE6" wp14:paraId="2DC72A1E" wp14:textId="6AE89C47">
      <w:pPr>
        <w:pStyle w:val="ListParagraph"/>
        <w:numPr>
          <w:ilvl w:val="0"/>
          <w:numId w:val="1"/>
        </w:numPr>
        <w:spacing w:before="0" w:beforeAutospacing="off" w:after="0" w:afterAutospacing="off"/>
        <w:ind w:left="720" w:right="0" w:hanging="360"/>
        <w:rPr>
          <w:rFonts w:ascii="Aptos" w:hAnsi="Aptos" w:eastAsia="Aptos" w:cs="Aptos"/>
          <w:noProof w:val="0"/>
          <w:color w:val="000000" w:themeColor="text1" w:themeTint="FF" w:themeShade="FF"/>
          <w:sz w:val="24"/>
          <w:szCs w:val="24"/>
          <w:lang w:val="en-US"/>
        </w:rPr>
      </w:pPr>
      <w:r w:rsidRPr="7CD6FFE6" w:rsidR="7CD6FFE6">
        <w:rPr>
          <w:rFonts w:ascii="Aptos" w:hAnsi="Aptos" w:eastAsia="Aptos" w:cs="Aptos"/>
          <w:noProof w:val="0"/>
          <w:color w:val="000000" w:themeColor="text1" w:themeTint="FF" w:themeShade="FF"/>
          <w:sz w:val="24"/>
          <w:szCs w:val="24"/>
          <w:lang w:val="en-US"/>
        </w:rPr>
        <w:t xml:space="preserve">Expand existing Health and Human Services (HHSC) workforce efforts currently funded through federal mental health block grant funds by using state dollars to expand the licensed social work internship stipends program and the tele-supervision hubs for social workers seeking clinical licensure program. </w:t>
      </w:r>
    </w:p>
    <w:p xmlns:wp14="http://schemas.microsoft.com/office/word/2010/wordml" w:rsidP="7CD6FFE6" wp14:paraId="3E11C385" wp14:textId="2433D0A1">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 </w:t>
      </w:r>
    </w:p>
    <w:p xmlns:wp14="http://schemas.microsoft.com/office/word/2010/wordml" w:rsidP="7CD6FFE6" wp14:paraId="3B017905" wp14:textId="1AC480A9">
      <w:pPr>
        <w:pStyle w:val="ListParagraph"/>
        <w:numPr>
          <w:ilvl w:val="0"/>
          <w:numId w:val="1"/>
        </w:numPr>
        <w:spacing w:before="0" w:beforeAutospacing="off" w:after="0" w:afterAutospacing="off"/>
        <w:ind w:left="720" w:right="0" w:hanging="360"/>
        <w:rPr>
          <w:rFonts w:ascii="Aptos" w:hAnsi="Aptos" w:eastAsia="Aptos" w:cs="Aptos"/>
          <w:noProof w:val="0"/>
          <w:color w:val="000000" w:themeColor="text1" w:themeTint="FF" w:themeShade="FF"/>
          <w:sz w:val="24"/>
          <w:szCs w:val="24"/>
          <w:lang w:val="en-US"/>
        </w:rPr>
      </w:pPr>
      <w:r w:rsidRPr="7CD6FFE6" w:rsidR="7CD6FFE6">
        <w:rPr>
          <w:rFonts w:ascii="Aptos" w:hAnsi="Aptos" w:eastAsia="Aptos" w:cs="Aptos"/>
          <w:noProof w:val="0"/>
          <w:color w:val="000000" w:themeColor="text1" w:themeTint="FF" w:themeShade="FF"/>
          <w:sz w:val="24"/>
          <w:szCs w:val="24"/>
          <w:lang w:val="en-US"/>
        </w:rPr>
        <w:t xml:space="preserve">Prioritize supporting the entire behavioral health workforce spectrum in the public mental health system through the funding and creation of a pilot program for state hospitals, LMHAs, and other state contracted entities to provide paid internships, paid licensing/credentialing, and paid clinical hours for behavioral health providers with a focus on Peer Support Specialists, Recovery Coaches, and Certified Family Partners. Consider including 988 crisis hotlines in this pilot program to fill critical gaps in the hotline workforce. </w:t>
      </w:r>
    </w:p>
    <w:p xmlns:wp14="http://schemas.microsoft.com/office/word/2010/wordml" w:rsidP="7CD6FFE6" wp14:paraId="6F323FE8" wp14:textId="305D901D">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 </w:t>
      </w:r>
    </w:p>
    <w:p xmlns:wp14="http://schemas.microsoft.com/office/word/2010/wordml" w:rsidP="7CD6FFE6" wp14:paraId="10AC6C8F" wp14:textId="4F407ECC">
      <w:pPr>
        <w:pStyle w:val="ListParagraph"/>
        <w:numPr>
          <w:ilvl w:val="0"/>
          <w:numId w:val="1"/>
        </w:numPr>
        <w:spacing w:before="0" w:beforeAutospacing="off" w:after="0" w:afterAutospacing="off"/>
        <w:ind w:left="720" w:right="0" w:hanging="360"/>
        <w:rPr>
          <w:rFonts w:ascii="Aptos" w:hAnsi="Aptos" w:eastAsia="Aptos" w:cs="Aptos"/>
          <w:noProof w:val="0"/>
          <w:color w:val="000000" w:themeColor="text1" w:themeTint="FF" w:themeShade="FF"/>
          <w:sz w:val="24"/>
          <w:szCs w:val="24"/>
          <w:lang w:val="en-US"/>
        </w:rPr>
      </w:pPr>
      <w:r w:rsidRPr="7CD6FFE6" w:rsidR="7CD6FFE6">
        <w:rPr>
          <w:rFonts w:ascii="Aptos" w:hAnsi="Aptos" w:eastAsia="Aptos" w:cs="Aptos"/>
          <w:noProof w:val="0"/>
          <w:color w:val="000000" w:themeColor="text1" w:themeTint="FF" w:themeShade="FF"/>
          <w:sz w:val="24"/>
          <w:szCs w:val="24"/>
          <w:lang w:val="en-US"/>
        </w:rPr>
        <w:t xml:space="preserve">Request $27 million to provide pay parity for all mental health providers utilizing the Medicaid psychotherapy benefit; allow Licensed Master Social Workers (LMSWs), LPC-Associates and LMFT-Associates working toward their supervision hours the ability to bill for psychotherapy. </w:t>
      </w:r>
    </w:p>
    <w:p xmlns:wp14="http://schemas.microsoft.com/office/word/2010/wordml" w:rsidP="7CD6FFE6" wp14:paraId="0F97DA7C" wp14:textId="66F00834">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 </w:t>
      </w:r>
    </w:p>
    <w:p xmlns:wp14="http://schemas.microsoft.com/office/word/2010/wordml" w:rsidP="7CD6FFE6" wp14:paraId="4F755E97" wp14:textId="29D00F01">
      <w:pPr>
        <w:pStyle w:val="ListParagraph"/>
        <w:numPr>
          <w:ilvl w:val="0"/>
          <w:numId w:val="1"/>
        </w:numPr>
        <w:spacing w:before="0" w:beforeAutospacing="off" w:after="0" w:afterAutospacing="off"/>
        <w:ind w:left="720" w:right="0" w:hanging="360"/>
        <w:rPr>
          <w:rFonts w:ascii="Aptos" w:hAnsi="Aptos" w:eastAsia="Aptos" w:cs="Aptos"/>
          <w:noProof w:val="0"/>
          <w:color w:val="000000" w:themeColor="text1" w:themeTint="FF" w:themeShade="FF"/>
          <w:sz w:val="24"/>
          <w:szCs w:val="24"/>
          <w:lang w:val="en-US"/>
        </w:rPr>
      </w:pPr>
      <w:r w:rsidRPr="7CD6FFE6" w:rsidR="7CD6FFE6">
        <w:rPr>
          <w:rFonts w:ascii="Aptos" w:hAnsi="Aptos" w:eastAsia="Aptos" w:cs="Aptos"/>
          <w:noProof w:val="0"/>
          <w:color w:val="000000" w:themeColor="text1" w:themeTint="FF" w:themeShade="FF"/>
          <w:sz w:val="24"/>
          <w:szCs w:val="24"/>
          <w:lang w:val="en-US"/>
        </w:rPr>
        <w:t xml:space="preserve">Fund the Behavioral Health Innovation Grant Program created through HB 400 (Klick/Kolkhorst) in the THECB to support higher education workforce programs that can be tailored for unique regional needs.  </w:t>
      </w:r>
    </w:p>
    <w:p xmlns:wp14="http://schemas.microsoft.com/office/word/2010/wordml" w:rsidP="7CD6FFE6" wp14:paraId="6F09B7F5" wp14:textId="64E43F57">
      <w:pPr>
        <w:spacing w:before="0" w:beforeAutospacing="off" w:after="0" w:afterAutospacing="off"/>
      </w:pPr>
      <w:r w:rsidRPr="7CD6FFE6" w:rsidR="7CD6FFE6">
        <w:rPr>
          <w:rFonts w:ascii="Aptos" w:hAnsi="Aptos" w:eastAsia="Aptos" w:cs="Aptos"/>
          <w:noProof w:val="0"/>
          <w:color w:val="000000" w:themeColor="text1" w:themeTint="FF" w:themeShade="FF"/>
          <w:sz w:val="24"/>
          <w:szCs w:val="24"/>
          <w:lang w:val="en-US"/>
        </w:rPr>
        <w:t xml:space="preserve"> </w:t>
      </w:r>
    </w:p>
    <w:p xmlns:wp14="http://schemas.microsoft.com/office/word/2010/wordml" w:rsidP="7CD6FFE6" wp14:paraId="55CABCBF" wp14:textId="3EC816E8">
      <w:pPr>
        <w:pStyle w:val="ListParagraph"/>
        <w:numPr>
          <w:ilvl w:val="0"/>
          <w:numId w:val="1"/>
        </w:numPr>
        <w:spacing w:before="0" w:beforeAutospacing="off" w:after="0" w:afterAutospacing="off"/>
        <w:ind w:left="720" w:right="0" w:hanging="360"/>
        <w:rPr>
          <w:rFonts w:ascii="Aptos" w:hAnsi="Aptos" w:eastAsia="Aptos" w:cs="Aptos"/>
          <w:noProof w:val="0"/>
          <w:color w:val="000000" w:themeColor="text1" w:themeTint="FF" w:themeShade="FF"/>
          <w:sz w:val="24"/>
          <w:szCs w:val="24"/>
          <w:lang w:val="en-US"/>
        </w:rPr>
      </w:pPr>
      <w:r w:rsidRPr="7CD6FFE6" w:rsidR="7CD6FFE6">
        <w:rPr>
          <w:rFonts w:ascii="Aptos" w:hAnsi="Aptos" w:eastAsia="Aptos" w:cs="Aptos"/>
          <w:noProof w:val="0"/>
          <w:color w:val="000000" w:themeColor="text1" w:themeTint="FF" w:themeShade="FF"/>
          <w:sz w:val="24"/>
          <w:szCs w:val="24"/>
          <w:lang w:val="en-US"/>
        </w:rPr>
        <w:t>Consider eligibility flexibilities for the Loan Repayment Program for Mental Health Professionals program within THECB in order to get funds out to more mental health and substance use providers and ensure all funds are expended from the most 88th Legislative session budget allocation.</w:t>
      </w:r>
    </w:p>
    <w:p xmlns:wp14="http://schemas.microsoft.com/office/word/2010/wordml" w:rsidP="7CD6FFE6" wp14:paraId="2C078E63" wp14:textId="59EADD02">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6">
    <w:nsid w:val="2ba32ba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
    <w:nsid w:val="f961b6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2bafa7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4be25b8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6a4c377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27d318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1B13475"/>
    <w:rsid w:val="01B13475"/>
    <w:rsid w:val="7CD6FF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13475"/>
  <w15:chartTrackingRefBased/>
  <w15:docId w15:val="{A55B1F92-762F-4FC6-BA12-B3DAD696C05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numbering" Target="numbering.xml" Id="Rd3234bc71f6d407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2024-08-07T19:23:54.3725964Z</dcterms:created>
  <dcterms:modified xsi:type="dcterms:W3CDTF">2024-08-07T19:25:01.1863174Z</dcterms:modified>
  <dc:creator>Sydni Gaitan</dc:creator>
  <lastModifiedBy>Sydni Gaitan</lastModifiedBy>
</coreProperties>
</file>