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0856B04" w14:textId="77777777" w:rsidR="004D757B" w:rsidRDefault="00DF0451">
      <w:pPr>
        <w:rPr>
          <w:b/>
          <w:sz w:val="36"/>
          <w:szCs w:val="36"/>
        </w:rPr>
      </w:pPr>
      <w:bookmarkStart w:id="0" w:name="_gjdgxs" w:colFirst="0" w:colLast="0"/>
      <w:bookmarkEnd w:id="0"/>
      <w:r>
        <w:rPr>
          <w:b/>
          <w:sz w:val="36"/>
          <w:szCs w:val="36"/>
        </w:rPr>
        <w:t>SAMPLE Checklist for Evaluating OER</w:t>
      </w:r>
    </w:p>
    <w:tbl>
      <w:tblPr>
        <w:tblStyle w:val="a"/>
        <w:tblW w:w="1030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7"/>
        <w:gridCol w:w="2971"/>
      </w:tblGrid>
      <w:tr w:rsidR="004D757B" w14:paraId="32DBA962" w14:textId="77777777">
        <w:trPr>
          <w:trHeight w:val="320"/>
        </w:trPr>
        <w:tc>
          <w:tcPr>
            <w:tcW w:w="7337" w:type="dxa"/>
          </w:tcPr>
          <w:p w14:paraId="596746E7" w14:textId="77777777" w:rsidR="004D757B" w:rsidRDefault="00DF0451">
            <w:pPr>
              <w:rPr>
                <w:b/>
                <w:sz w:val="36"/>
                <w:szCs w:val="36"/>
              </w:rPr>
            </w:pPr>
            <w:r>
              <w:rPr>
                <w:b/>
                <w:sz w:val="28"/>
                <w:szCs w:val="28"/>
              </w:rPr>
              <w:t>BREADTH OF PERSPECTIVES AND ACCURACY</w:t>
            </w:r>
          </w:p>
        </w:tc>
        <w:tc>
          <w:tcPr>
            <w:tcW w:w="2971" w:type="dxa"/>
          </w:tcPr>
          <w:p w14:paraId="6A17EC93" w14:textId="77777777" w:rsidR="004D757B" w:rsidRDefault="00DF0451">
            <w:pPr>
              <w:rPr>
                <w:b/>
                <w:sz w:val="36"/>
                <w:szCs w:val="36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4D757B" w14:paraId="74AD392A" w14:textId="77777777">
        <w:trPr>
          <w:trHeight w:val="4240"/>
        </w:trPr>
        <w:tc>
          <w:tcPr>
            <w:tcW w:w="7337" w:type="dxa"/>
          </w:tcPr>
          <w:p w14:paraId="2FFDD03F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information in the OER is accurate </w:t>
            </w:r>
          </w:p>
          <w:p w14:paraId="372ACAD8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provides appropriate coverage of material in a clear, logical manner</w:t>
            </w:r>
          </w:p>
          <w:p w14:paraId="7FB47EA8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reflects accurate and recent scholarship in terms of the subject matter</w:t>
            </w:r>
          </w:p>
          <w:p w14:paraId="4A6BEA18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provides a thorough and evenhanded exploration of course content</w:t>
            </w:r>
          </w:p>
          <w:p w14:paraId="29006653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reflects mu</w:t>
            </w:r>
            <w:r>
              <w:rPr>
                <w:sz w:val="24"/>
                <w:szCs w:val="24"/>
              </w:rPr>
              <w:t>ltiple perspectives and points of view on course topics</w:t>
            </w:r>
          </w:p>
          <w:p w14:paraId="0F623C32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Controversies within the discipline/program are discussed with sufficient scope for the course learning outcomes and objectives</w:t>
            </w:r>
          </w:p>
          <w:p w14:paraId="46AC0CED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provides theoretical perspectives for the topic, addressing </w:t>
            </w:r>
            <w:r>
              <w:rPr>
                <w:sz w:val="24"/>
                <w:szCs w:val="24"/>
              </w:rPr>
              <w:t>major theories appropriately</w:t>
            </w:r>
          </w:p>
          <w:p w14:paraId="5178B3DE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contains no spelling errors or typos</w:t>
            </w:r>
          </w:p>
        </w:tc>
        <w:tc>
          <w:tcPr>
            <w:tcW w:w="2971" w:type="dxa"/>
          </w:tcPr>
          <w:p w14:paraId="1E992856" w14:textId="77777777" w:rsidR="004D757B" w:rsidRDefault="004D757B">
            <w:pPr>
              <w:rPr>
                <w:b/>
                <w:sz w:val="28"/>
                <w:szCs w:val="28"/>
              </w:rPr>
            </w:pPr>
          </w:p>
        </w:tc>
      </w:tr>
    </w:tbl>
    <w:p w14:paraId="3476FCDD" w14:textId="77777777" w:rsidR="004D757B" w:rsidRDefault="004D757B">
      <w:pPr>
        <w:rPr>
          <w:b/>
          <w:sz w:val="20"/>
          <w:szCs w:val="20"/>
        </w:rPr>
      </w:pPr>
    </w:p>
    <w:tbl>
      <w:tblPr>
        <w:tblStyle w:val="a0"/>
        <w:tblW w:w="1029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26"/>
        <w:gridCol w:w="2967"/>
      </w:tblGrid>
      <w:tr w:rsidR="004D757B" w14:paraId="0E15CE11" w14:textId="77777777">
        <w:trPr>
          <w:trHeight w:val="320"/>
        </w:trPr>
        <w:tc>
          <w:tcPr>
            <w:tcW w:w="7326" w:type="dxa"/>
          </w:tcPr>
          <w:p w14:paraId="53CF86D2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ALIGNMENT</w:t>
            </w:r>
          </w:p>
        </w:tc>
        <w:tc>
          <w:tcPr>
            <w:tcW w:w="2967" w:type="dxa"/>
          </w:tcPr>
          <w:p w14:paraId="5B740CA4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4D757B" w14:paraId="7A8A3D36" w14:textId="77777777">
        <w:trPr>
          <w:trHeight w:val="2800"/>
        </w:trPr>
        <w:tc>
          <w:tcPr>
            <w:tcW w:w="7326" w:type="dxa"/>
          </w:tcPr>
          <w:p w14:paraId="758F1786" w14:textId="5361215A" w:rsidR="004D757B" w:rsidRDefault="00DF0451"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If applicable, </w:t>
            </w:r>
            <w:r>
              <w:t xml:space="preserve">the OER aligns 100 percent with the </w:t>
            </w:r>
            <w:hyperlink r:id="rId7">
              <w:r>
                <w:rPr>
                  <w:color w:val="0563C1"/>
                  <w:u w:val="single"/>
                </w:rPr>
                <w:t xml:space="preserve">Lower Division Academic Course Guide </w:t>
              </w:r>
              <w:r>
                <w:rPr>
                  <w:color w:val="0563C1"/>
                  <w:u w:val="single"/>
                </w:rPr>
                <w:t>M</w:t>
              </w:r>
              <w:r>
                <w:rPr>
                  <w:color w:val="0563C1"/>
                  <w:u w:val="single"/>
                </w:rPr>
                <w:t>anual</w:t>
              </w:r>
            </w:hyperlink>
            <w:r>
              <w:t xml:space="preserve"> course description and student learning outcomes – it is clear to students what </w:t>
            </w:r>
            <w:r>
              <w:t>materials they should interact with in order to demonstrate mastery of specific outcomes</w:t>
            </w:r>
          </w:p>
          <w:p w14:paraId="0D86561C" w14:textId="0898B8EA" w:rsidR="004D757B" w:rsidRDefault="00DF0451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If applicable, the OER aligns 100 percent with the THECB </w:t>
            </w:r>
            <w:hyperlink r:id="rId8">
              <w:r>
                <w:rPr>
                  <w:color w:val="0563C1"/>
                  <w:u w:val="single"/>
                </w:rPr>
                <w:t>Texas C</w:t>
              </w:r>
              <w:r>
                <w:rPr>
                  <w:color w:val="0563C1"/>
                  <w:u w:val="single"/>
                </w:rPr>
                <w:t>ore Curriculu</w:t>
              </w:r>
              <w:r>
                <w:rPr>
                  <w:color w:val="0563C1"/>
                  <w:u w:val="single"/>
                </w:rPr>
                <w:t>m</w:t>
              </w:r>
              <w:r>
                <w:rPr>
                  <w:color w:val="0563C1"/>
                  <w:u w:val="single"/>
                </w:rPr>
                <w:t xml:space="preserve"> Objectives</w:t>
              </w:r>
            </w:hyperlink>
            <w:r>
              <w:t xml:space="preserve"> – it is clear to students what materials they should interact with in order to demonstrate mastery of specific core objectives</w:t>
            </w:r>
          </w:p>
          <w:p w14:paraId="75A22F55" w14:textId="77777777" w:rsidR="004D757B" w:rsidRDefault="00DF0451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If applicable, the OER aligns with course student learning outcomes and objectives (including and in addition to Academic Course Guide Manual and core curriculum objectives).</w:t>
            </w:r>
          </w:p>
          <w:p w14:paraId="69FED4CD" w14:textId="77777777" w:rsidR="004D757B" w:rsidRDefault="00DF0451"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If applicable, the OER aligns with course student learning outcomes and approp</w:t>
            </w:r>
            <w:r>
              <w:t xml:space="preserve">riate licensure requirements outlined in the </w:t>
            </w:r>
            <w:hyperlink r:id="rId9">
              <w:r>
                <w:rPr>
                  <w:color w:val="1155CC"/>
                  <w:u w:val="single"/>
                </w:rPr>
                <w:t>Wor</w:t>
              </w:r>
              <w:r>
                <w:rPr>
                  <w:color w:val="1155CC"/>
                  <w:u w:val="single"/>
                </w:rPr>
                <w:t>k</w:t>
              </w:r>
              <w:r>
                <w:rPr>
                  <w:color w:val="1155CC"/>
                  <w:u w:val="single"/>
                </w:rPr>
                <w:t>force Education Course Manual.</w:t>
              </w:r>
            </w:hyperlink>
          </w:p>
        </w:tc>
        <w:tc>
          <w:tcPr>
            <w:tcW w:w="2967" w:type="dxa"/>
          </w:tcPr>
          <w:p w14:paraId="70369F4D" w14:textId="77777777" w:rsidR="004D757B" w:rsidRDefault="004D757B">
            <w:pPr>
              <w:rPr>
                <w:b/>
                <w:sz w:val="28"/>
                <w:szCs w:val="28"/>
              </w:rPr>
            </w:pPr>
          </w:p>
        </w:tc>
      </w:tr>
    </w:tbl>
    <w:p w14:paraId="245B44B8" w14:textId="77777777" w:rsidR="004D757B" w:rsidRDefault="004D757B">
      <w:pPr>
        <w:rPr>
          <w:b/>
          <w:sz w:val="28"/>
          <w:szCs w:val="28"/>
        </w:rPr>
      </w:pPr>
    </w:p>
    <w:tbl>
      <w:tblPr>
        <w:tblStyle w:val="a1"/>
        <w:tblW w:w="1030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7"/>
        <w:gridCol w:w="2971"/>
      </w:tblGrid>
      <w:tr w:rsidR="004D757B" w14:paraId="35764423" w14:textId="77777777">
        <w:trPr>
          <w:trHeight w:val="340"/>
        </w:trPr>
        <w:tc>
          <w:tcPr>
            <w:tcW w:w="7337" w:type="dxa"/>
          </w:tcPr>
          <w:p w14:paraId="5C68034F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PRODUCTION QUALITY </w:t>
            </w:r>
          </w:p>
        </w:tc>
        <w:tc>
          <w:tcPr>
            <w:tcW w:w="2971" w:type="dxa"/>
          </w:tcPr>
          <w:p w14:paraId="1D53DDF2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4D757B" w14:paraId="199217D7" w14:textId="77777777">
        <w:trPr>
          <w:trHeight w:val="1600"/>
        </w:trPr>
        <w:tc>
          <w:tcPr>
            <w:tcW w:w="7337" w:type="dxa"/>
          </w:tcPr>
          <w:p w14:paraId="1520C789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content in the OER is clear and understandable</w:t>
            </w:r>
          </w:p>
          <w:p w14:paraId="25939DED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interface and design are easy to navigate</w:t>
            </w:r>
          </w:p>
          <w:p w14:paraId="2B1E47B1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is designed to promote learning</w:t>
            </w:r>
          </w:p>
          <w:p w14:paraId="43B12CCA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sound quality is high for audio resources</w:t>
            </w:r>
          </w:p>
          <w:p w14:paraId="7F1012E7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video and audio (if included) quality are high</w:t>
            </w:r>
          </w:p>
        </w:tc>
        <w:tc>
          <w:tcPr>
            <w:tcW w:w="2971" w:type="dxa"/>
          </w:tcPr>
          <w:p w14:paraId="26B219BC" w14:textId="77777777" w:rsidR="004D757B" w:rsidRDefault="004D757B">
            <w:pPr>
              <w:rPr>
                <w:b/>
                <w:sz w:val="28"/>
                <w:szCs w:val="28"/>
              </w:rPr>
            </w:pPr>
          </w:p>
        </w:tc>
      </w:tr>
    </w:tbl>
    <w:p w14:paraId="14A96514" w14:textId="77777777" w:rsidR="004D757B" w:rsidRDefault="004D757B">
      <w:pPr>
        <w:rPr>
          <w:b/>
          <w:sz w:val="20"/>
          <w:szCs w:val="20"/>
        </w:rPr>
      </w:pPr>
    </w:p>
    <w:tbl>
      <w:tblPr>
        <w:tblStyle w:val="a2"/>
        <w:tblW w:w="1035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69"/>
        <w:gridCol w:w="2984"/>
      </w:tblGrid>
      <w:tr w:rsidR="004D757B" w14:paraId="63C28709" w14:textId="77777777">
        <w:trPr>
          <w:trHeight w:val="320"/>
        </w:trPr>
        <w:tc>
          <w:tcPr>
            <w:tcW w:w="7369" w:type="dxa"/>
          </w:tcPr>
          <w:p w14:paraId="41977F2A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ADA COMPLIANCE</w:t>
            </w:r>
          </w:p>
        </w:tc>
        <w:tc>
          <w:tcPr>
            <w:tcW w:w="2984" w:type="dxa"/>
          </w:tcPr>
          <w:p w14:paraId="6BF6525C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4D757B" w14:paraId="172D0F38" w14:textId="77777777">
        <w:trPr>
          <w:trHeight w:val="2100"/>
        </w:trPr>
        <w:tc>
          <w:tcPr>
            <w:tcW w:w="7369" w:type="dxa"/>
          </w:tcPr>
          <w:p w14:paraId="38C34899" w14:textId="77777777" w:rsidR="004D757B" w:rsidRDefault="00DF0451">
            <w:pPr>
              <w:rPr>
                <w:sz w:val="24"/>
                <w:szCs w:val="24"/>
              </w:rPr>
            </w:pPr>
            <w:proofErr w:type="gramStart"/>
            <w:r>
              <w:rPr>
                <w:rFonts w:ascii="MS Gothic" w:eastAsia="MS Gothic" w:hAnsi="MS Gothic" w:cs="MS Gothic"/>
                <w:sz w:val="24"/>
                <w:szCs w:val="24"/>
              </w:rPr>
              <w:lastRenderedPageBreak/>
              <w:t>☐</w:t>
            </w:r>
            <w:r>
              <w:rPr>
                <w:sz w:val="24"/>
                <w:szCs w:val="24"/>
              </w:rPr>
              <w:t xml:space="preserve">  Transcript</w:t>
            </w:r>
            <w:proofErr w:type="gramEnd"/>
            <w:r>
              <w:rPr>
                <w:sz w:val="24"/>
                <w:szCs w:val="24"/>
              </w:rPr>
              <w:t xml:space="preserve"> or subtitles are provided for audio resources</w:t>
            </w:r>
          </w:p>
          <w:p w14:paraId="36C4F7BD" w14:textId="77777777" w:rsidR="004D757B" w:rsidRDefault="00DF0451">
            <w:pPr>
              <w:rPr>
                <w:sz w:val="24"/>
                <w:szCs w:val="24"/>
              </w:rPr>
            </w:pPr>
            <w:proofErr w:type="gramStart"/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Closed</w:t>
            </w:r>
            <w:proofErr w:type="gramEnd"/>
            <w:r>
              <w:rPr>
                <w:sz w:val="24"/>
                <w:szCs w:val="24"/>
              </w:rPr>
              <w:t xml:space="preserve"> captioning or subtitles are provided for video resources</w:t>
            </w:r>
          </w:p>
          <w:p w14:paraId="3D60E58D" w14:textId="77777777" w:rsidR="004D757B" w:rsidRDefault="00DF0451">
            <w:pPr>
              <w:rPr>
                <w:sz w:val="24"/>
                <w:szCs w:val="24"/>
              </w:rPr>
            </w:pPr>
            <w:proofErr w:type="gramStart"/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Alt</w:t>
            </w:r>
            <w:proofErr w:type="gramEnd"/>
            <w:r>
              <w:rPr>
                <w:sz w:val="24"/>
                <w:szCs w:val="24"/>
              </w:rPr>
              <w:t xml:space="preserve"> tags or long descriptions are included for graphics</w:t>
            </w:r>
          </w:p>
        </w:tc>
        <w:tc>
          <w:tcPr>
            <w:tcW w:w="2984" w:type="dxa"/>
          </w:tcPr>
          <w:p w14:paraId="49532E89" w14:textId="77777777" w:rsidR="004D757B" w:rsidRDefault="004D757B">
            <w:pPr>
              <w:rPr>
                <w:b/>
                <w:sz w:val="24"/>
                <w:szCs w:val="24"/>
              </w:rPr>
            </w:pPr>
          </w:p>
        </w:tc>
      </w:tr>
    </w:tbl>
    <w:p w14:paraId="36AD9BD4" w14:textId="77777777" w:rsidR="004D757B" w:rsidRDefault="004D757B">
      <w:pPr>
        <w:rPr>
          <w:b/>
          <w:sz w:val="28"/>
          <w:szCs w:val="28"/>
        </w:rPr>
      </w:pPr>
    </w:p>
    <w:tbl>
      <w:tblPr>
        <w:tblStyle w:val="a3"/>
        <w:tblW w:w="1045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444"/>
        <w:gridCol w:w="3014"/>
      </w:tblGrid>
      <w:tr w:rsidR="004D757B" w14:paraId="2BC61FBB" w14:textId="77777777">
        <w:trPr>
          <w:trHeight w:val="340"/>
        </w:trPr>
        <w:tc>
          <w:tcPr>
            <w:tcW w:w="7444" w:type="dxa"/>
          </w:tcPr>
          <w:p w14:paraId="3D3FEE9B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STUDENT ACCESS</w:t>
            </w:r>
          </w:p>
        </w:tc>
        <w:tc>
          <w:tcPr>
            <w:tcW w:w="3014" w:type="dxa"/>
          </w:tcPr>
          <w:p w14:paraId="58B17AF0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4D757B" w14:paraId="7DE9B42C" w14:textId="77777777">
        <w:trPr>
          <w:trHeight w:val="940"/>
        </w:trPr>
        <w:tc>
          <w:tcPr>
            <w:tcW w:w="7444" w:type="dxa"/>
          </w:tcPr>
          <w:p w14:paraId="6ABC1AE7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and support materials are available for use on the first day of class</w:t>
            </w:r>
          </w:p>
          <w:p w14:paraId="4D61052E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are accessible in multiple modes (</w:t>
            </w:r>
            <w:proofErr w:type="gramStart"/>
            <w:r>
              <w:rPr>
                <w:sz w:val="24"/>
                <w:szCs w:val="24"/>
              </w:rPr>
              <w:t>e.g.</w:t>
            </w:r>
            <w:proofErr w:type="gramEnd"/>
            <w:r>
              <w:rPr>
                <w:sz w:val="24"/>
                <w:szCs w:val="24"/>
              </w:rPr>
              <w:t xml:space="preserve"> for download, printing, reading online and mobile technology)</w:t>
            </w:r>
          </w:p>
        </w:tc>
        <w:tc>
          <w:tcPr>
            <w:tcW w:w="3014" w:type="dxa"/>
          </w:tcPr>
          <w:p w14:paraId="1E1099D1" w14:textId="77777777" w:rsidR="004D757B" w:rsidRDefault="004D757B">
            <w:pPr>
              <w:rPr>
                <w:b/>
                <w:sz w:val="28"/>
                <w:szCs w:val="28"/>
              </w:rPr>
            </w:pPr>
          </w:p>
        </w:tc>
      </w:tr>
    </w:tbl>
    <w:p w14:paraId="09B2069B" w14:textId="77777777" w:rsidR="004D757B" w:rsidRDefault="004D757B">
      <w:pPr>
        <w:rPr>
          <w:b/>
          <w:sz w:val="28"/>
          <w:szCs w:val="28"/>
        </w:rPr>
      </w:pPr>
    </w:p>
    <w:tbl>
      <w:tblPr>
        <w:tblStyle w:val="a4"/>
        <w:tblW w:w="1048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465"/>
        <w:gridCol w:w="3023"/>
      </w:tblGrid>
      <w:tr w:rsidR="004D757B" w14:paraId="56390881" w14:textId="77777777">
        <w:trPr>
          <w:trHeight w:val="320"/>
        </w:trPr>
        <w:tc>
          <w:tcPr>
            <w:tcW w:w="7465" w:type="dxa"/>
          </w:tcPr>
          <w:p w14:paraId="0DB41D49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STUDENT ENGAGEMENT</w:t>
            </w:r>
          </w:p>
        </w:tc>
        <w:tc>
          <w:tcPr>
            <w:tcW w:w="3023" w:type="dxa"/>
          </w:tcPr>
          <w:p w14:paraId="51D43D1B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4D757B" w14:paraId="24C1A944" w14:textId="77777777">
        <w:trPr>
          <w:trHeight w:val="3600"/>
        </w:trPr>
        <w:tc>
          <w:tcPr>
            <w:tcW w:w="7465" w:type="dxa"/>
          </w:tcPr>
          <w:p w14:paraId="65081294" w14:textId="77777777" w:rsidR="004D757B" w:rsidRDefault="00DF0451">
            <w:pPr>
              <w:rPr>
                <w:sz w:val="24"/>
                <w:szCs w:val="24"/>
              </w:rPr>
            </w:pPr>
            <w:proofErr w:type="gramStart"/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The</w:t>
            </w:r>
            <w:proofErr w:type="gramEnd"/>
            <w:r>
              <w:rPr>
                <w:sz w:val="24"/>
                <w:szCs w:val="24"/>
              </w:rPr>
              <w:t xml:space="preserve"> OER promotes active learning, class participation, and/or collaboration</w:t>
            </w:r>
          </w:p>
          <w:p w14:paraId="01BDB02E" w14:textId="77777777" w:rsidR="004D757B" w:rsidRDefault="00DF0451">
            <w:pPr>
              <w:rPr>
                <w:sz w:val="24"/>
                <w:szCs w:val="24"/>
              </w:rPr>
            </w:pPr>
            <w:proofErr w:type="gramStart"/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The</w:t>
            </w:r>
            <w:proofErr w:type="gramEnd"/>
            <w:r>
              <w:rPr>
                <w:sz w:val="24"/>
                <w:szCs w:val="24"/>
              </w:rPr>
              <w:t xml:space="preserve"> resource provides opportunities for students to test their learning (e.g. a video or PowerPoint presentation with built-in checks for understanding)</w:t>
            </w:r>
          </w:p>
          <w:p w14:paraId="651C8437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includes a m</w:t>
            </w:r>
            <w:r>
              <w:rPr>
                <w:sz w:val="24"/>
                <w:szCs w:val="24"/>
              </w:rPr>
              <w:t xml:space="preserve">ix of instructional approaches </w:t>
            </w:r>
          </w:p>
          <w:p w14:paraId="120911F8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includes multiple modalities (</w:t>
            </w:r>
            <w:proofErr w:type="gramStart"/>
            <w:r>
              <w:rPr>
                <w:sz w:val="24"/>
                <w:szCs w:val="24"/>
              </w:rPr>
              <w:t>e.g.</w:t>
            </w:r>
            <w:proofErr w:type="gramEnd"/>
            <w:r>
              <w:rPr>
                <w:sz w:val="24"/>
                <w:szCs w:val="24"/>
              </w:rPr>
              <w:t xml:space="preserve"> graphics, tables, and information other than text) to support student learning</w:t>
            </w:r>
          </w:p>
          <w:p w14:paraId="0103155D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includes additional faculty resources</w:t>
            </w:r>
          </w:p>
          <w:p w14:paraId="6E574216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The OER includes effective and engaging student as</w:t>
            </w:r>
            <w:r>
              <w:rPr>
                <w:sz w:val="24"/>
                <w:szCs w:val="24"/>
              </w:rPr>
              <w:t>sessments of the course learning outcomes and objectives</w:t>
            </w:r>
          </w:p>
        </w:tc>
        <w:tc>
          <w:tcPr>
            <w:tcW w:w="3023" w:type="dxa"/>
          </w:tcPr>
          <w:p w14:paraId="248F33C4" w14:textId="77777777" w:rsidR="004D757B" w:rsidRDefault="004D757B">
            <w:pPr>
              <w:rPr>
                <w:b/>
                <w:sz w:val="28"/>
                <w:szCs w:val="28"/>
              </w:rPr>
            </w:pPr>
          </w:p>
        </w:tc>
      </w:tr>
    </w:tbl>
    <w:p w14:paraId="34875EFC" w14:textId="77777777" w:rsidR="004D757B" w:rsidRDefault="004D757B">
      <w:pPr>
        <w:rPr>
          <w:b/>
          <w:sz w:val="28"/>
          <w:szCs w:val="28"/>
        </w:rPr>
      </w:pPr>
    </w:p>
    <w:tbl>
      <w:tblPr>
        <w:tblStyle w:val="a5"/>
        <w:tblW w:w="10517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486"/>
        <w:gridCol w:w="3031"/>
      </w:tblGrid>
      <w:tr w:rsidR="004D757B" w14:paraId="46A6C481" w14:textId="77777777">
        <w:trPr>
          <w:trHeight w:val="320"/>
        </w:trPr>
        <w:tc>
          <w:tcPr>
            <w:tcW w:w="7486" w:type="dxa"/>
          </w:tcPr>
          <w:p w14:paraId="4853B5C0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CULTURAL RELEVANCE AND SENSITIVITY</w:t>
            </w:r>
          </w:p>
        </w:tc>
        <w:tc>
          <w:tcPr>
            <w:tcW w:w="3031" w:type="dxa"/>
          </w:tcPr>
          <w:p w14:paraId="4E70562C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4D757B" w14:paraId="2FF3CE7C" w14:textId="77777777">
        <w:trPr>
          <w:trHeight w:val="2160"/>
        </w:trPr>
        <w:tc>
          <w:tcPr>
            <w:tcW w:w="7486" w:type="dxa"/>
          </w:tcPr>
          <w:p w14:paraId="06CD5FA2" w14:textId="77777777" w:rsidR="004D757B" w:rsidRDefault="00DF0451">
            <w:pPr>
              <w:rPr>
                <w:sz w:val="24"/>
                <w:szCs w:val="24"/>
              </w:rPr>
            </w:pPr>
            <w:proofErr w:type="gramStart"/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The</w:t>
            </w:r>
            <w:proofErr w:type="gramEnd"/>
            <w:r>
              <w:rPr>
                <w:sz w:val="24"/>
                <w:szCs w:val="24"/>
              </w:rPr>
              <w:t xml:space="preserve"> resource establishes inclusion through classroom activities</w:t>
            </w:r>
          </w:p>
          <w:p w14:paraId="0FDA8A5E" w14:textId="77777777" w:rsidR="004D757B" w:rsidRDefault="00DF0451">
            <w:pPr>
              <w:rPr>
                <w:sz w:val="24"/>
                <w:szCs w:val="24"/>
              </w:rPr>
            </w:pPr>
            <w:proofErr w:type="gramStart"/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The</w:t>
            </w:r>
            <w:proofErr w:type="gramEnd"/>
            <w:r>
              <w:rPr>
                <w:sz w:val="24"/>
                <w:szCs w:val="24"/>
              </w:rPr>
              <w:t xml:space="preserve"> OER develops an attitude of acceptance and respect for others’ opinions</w:t>
            </w:r>
          </w:p>
          <w:p w14:paraId="4DFAFAAF" w14:textId="77777777" w:rsidR="004D757B" w:rsidRDefault="00DF0451">
            <w:pPr>
              <w:rPr>
                <w:sz w:val="24"/>
                <w:szCs w:val="24"/>
              </w:rPr>
            </w:pPr>
            <w:proofErr w:type="gramStart"/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The</w:t>
            </w:r>
            <w:proofErr w:type="gramEnd"/>
            <w:r>
              <w:rPr>
                <w:sz w:val="24"/>
                <w:szCs w:val="24"/>
              </w:rPr>
              <w:t xml:space="preserve"> OER enhances meaning through collaborative experiences</w:t>
            </w:r>
          </w:p>
          <w:p w14:paraId="306FF0CE" w14:textId="77777777" w:rsidR="004D757B" w:rsidRDefault="00DF0451">
            <w:pPr>
              <w:rPr>
                <w:sz w:val="24"/>
                <w:szCs w:val="24"/>
              </w:rPr>
            </w:pPr>
            <w:proofErr w:type="gramStart"/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 The</w:t>
            </w:r>
            <w:proofErr w:type="gramEnd"/>
            <w:r>
              <w:rPr>
                <w:sz w:val="24"/>
                <w:szCs w:val="24"/>
              </w:rPr>
              <w:t xml:space="preserve"> OER provides for self-reflection and self-assessment</w:t>
            </w:r>
          </w:p>
        </w:tc>
        <w:tc>
          <w:tcPr>
            <w:tcW w:w="3031" w:type="dxa"/>
          </w:tcPr>
          <w:p w14:paraId="5175D185" w14:textId="77777777" w:rsidR="004D757B" w:rsidRDefault="004D757B">
            <w:pPr>
              <w:rPr>
                <w:b/>
                <w:sz w:val="28"/>
                <w:szCs w:val="28"/>
              </w:rPr>
            </w:pPr>
          </w:p>
        </w:tc>
      </w:tr>
    </w:tbl>
    <w:p w14:paraId="3745257E" w14:textId="77777777" w:rsidR="004D757B" w:rsidRDefault="004D757B">
      <w:pPr>
        <w:rPr>
          <w:b/>
          <w:sz w:val="28"/>
          <w:szCs w:val="28"/>
        </w:rPr>
      </w:pPr>
    </w:p>
    <w:tbl>
      <w:tblPr>
        <w:tblStyle w:val="a6"/>
        <w:tblW w:w="10561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517"/>
        <w:gridCol w:w="3044"/>
      </w:tblGrid>
      <w:tr w:rsidR="004D757B" w14:paraId="1B3E2128" w14:textId="77777777">
        <w:trPr>
          <w:trHeight w:val="660"/>
        </w:trPr>
        <w:tc>
          <w:tcPr>
            <w:tcW w:w="7518" w:type="dxa"/>
          </w:tcPr>
          <w:p w14:paraId="72BC2052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LICENSING</w:t>
            </w:r>
          </w:p>
          <w:p w14:paraId="3630E9EB" w14:textId="77777777" w:rsidR="004D757B" w:rsidRDefault="004D757B">
            <w:pPr>
              <w:rPr>
                <w:b/>
                <w:sz w:val="28"/>
                <w:szCs w:val="28"/>
              </w:rPr>
            </w:pPr>
          </w:p>
        </w:tc>
        <w:tc>
          <w:tcPr>
            <w:tcW w:w="3044" w:type="dxa"/>
          </w:tcPr>
          <w:p w14:paraId="0D8AA73A" w14:textId="77777777" w:rsidR="004D757B" w:rsidRDefault="00DF045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4D757B" w14:paraId="614CB137" w14:textId="77777777">
        <w:trPr>
          <w:trHeight w:val="2060"/>
        </w:trPr>
        <w:tc>
          <w:tcPr>
            <w:tcW w:w="7518" w:type="dxa"/>
          </w:tcPr>
          <w:p w14:paraId="398AC124" w14:textId="77777777" w:rsidR="004D757B" w:rsidRDefault="00DF0451">
            <w:pPr>
              <w:rPr>
                <w:sz w:val="24"/>
                <w:szCs w:val="24"/>
              </w:rPr>
            </w:pPr>
            <w:proofErr w:type="gramStart"/>
            <w:r>
              <w:rPr>
                <w:rFonts w:ascii="MS Gothic" w:eastAsia="MS Gothic" w:hAnsi="MS Gothic" w:cs="MS Gothic"/>
                <w:sz w:val="24"/>
                <w:szCs w:val="24"/>
              </w:rPr>
              <w:lastRenderedPageBreak/>
              <w:t>☐</w:t>
            </w:r>
            <w:r>
              <w:rPr>
                <w:sz w:val="24"/>
                <w:szCs w:val="24"/>
              </w:rPr>
              <w:t xml:space="preserve">  Does</w:t>
            </w:r>
            <w:proofErr w:type="gramEnd"/>
            <w:r>
              <w:rPr>
                <w:sz w:val="24"/>
                <w:szCs w:val="24"/>
              </w:rPr>
              <w:t xml:space="preserve"> the resource’s license permit educational use of it?</w:t>
            </w:r>
          </w:p>
          <w:p w14:paraId="1B20521B" w14:textId="77777777" w:rsidR="004D757B" w:rsidRDefault="004D757B">
            <w:pPr>
              <w:rPr>
                <w:sz w:val="24"/>
                <w:szCs w:val="24"/>
              </w:rPr>
            </w:pPr>
          </w:p>
          <w:p w14:paraId="41FA88FC" w14:textId="77777777" w:rsidR="004D757B" w:rsidRDefault="00DF0451">
            <w:pPr>
              <w:rPr>
                <w:sz w:val="24"/>
                <w:szCs w:val="24"/>
              </w:rPr>
            </w:pPr>
            <w:r>
              <w:rPr>
                <w:rFonts w:ascii="MS Gothic" w:eastAsia="MS Gothic" w:hAnsi="MS Gothic" w:cs="MS Gothic"/>
                <w:sz w:val="24"/>
                <w:szCs w:val="24"/>
              </w:rPr>
              <w:t>☐</w:t>
            </w:r>
            <w:r>
              <w:rPr>
                <w:sz w:val="24"/>
                <w:szCs w:val="24"/>
              </w:rPr>
              <w:t xml:space="preserve"> Does the license allow users to modify or adapt the materials?</w:t>
            </w:r>
          </w:p>
          <w:p w14:paraId="436607B5" w14:textId="77777777" w:rsidR="004D757B" w:rsidRDefault="004D757B">
            <w:pPr>
              <w:rPr>
                <w:sz w:val="24"/>
                <w:szCs w:val="24"/>
              </w:rPr>
            </w:pPr>
          </w:p>
        </w:tc>
        <w:tc>
          <w:tcPr>
            <w:tcW w:w="3044" w:type="dxa"/>
          </w:tcPr>
          <w:p w14:paraId="3C4294A1" w14:textId="77777777" w:rsidR="004D757B" w:rsidRDefault="004D757B">
            <w:pPr>
              <w:rPr>
                <w:b/>
                <w:sz w:val="28"/>
                <w:szCs w:val="28"/>
              </w:rPr>
            </w:pPr>
          </w:p>
        </w:tc>
      </w:tr>
    </w:tbl>
    <w:p w14:paraId="563764D2" w14:textId="77777777" w:rsidR="004D757B" w:rsidRDefault="004D757B">
      <w:pPr>
        <w:rPr>
          <w:sz w:val="24"/>
          <w:szCs w:val="24"/>
        </w:rPr>
      </w:pPr>
    </w:p>
    <w:p w14:paraId="26239DF6" w14:textId="48E46ABA" w:rsidR="004D757B" w:rsidRDefault="00DF0451">
      <w:r>
        <w:rPr>
          <w:sz w:val="24"/>
          <w:szCs w:val="24"/>
        </w:rPr>
        <w:t>This checklist by Carrie Gits and Judith Sebesta</w:t>
      </w:r>
      <w:r>
        <w:rPr>
          <w:sz w:val="24"/>
          <w:szCs w:val="24"/>
        </w:rPr>
        <w:t xml:space="preserve"> is an adaptation of </w:t>
      </w:r>
      <w:hyperlink r:id="rId10">
        <w:r>
          <w:rPr>
            <w:color w:val="1155CC"/>
            <w:sz w:val="24"/>
            <w:szCs w:val="24"/>
            <w:u w:val="single"/>
          </w:rPr>
          <w:t>"Checklist for Evaluating Open Educational Resour</w:t>
        </w:r>
        <w:r>
          <w:rPr>
            <w:color w:val="1155CC"/>
            <w:sz w:val="24"/>
            <w:szCs w:val="24"/>
            <w:u w:val="single"/>
          </w:rPr>
          <w:t>c</w:t>
        </w:r>
        <w:r>
          <w:rPr>
            <w:color w:val="1155CC"/>
            <w:sz w:val="24"/>
            <w:szCs w:val="24"/>
            <w:u w:val="single"/>
          </w:rPr>
          <w:t>es (OER)"</w:t>
        </w:r>
      </w:hyperlink>
      <w:r>
        <w:rPr>
          <w:sz w:val="24"/>
          <w:szCs w:val="24"/>
        </w:rPr>
        <w:t xml:space="preserve"> by the Office of Instructional &amp; Faculty Development  at Austin Community College is licensed under</w:t>
      </w:r>
      <w:hyperlink r:id="rId11">
        <w:r>
          <w:rPr>
            <w:sz w:val="24"/>
            <w:szCs w:val="24"/>
          </w:rPr>
          <w:t xml:space="preserve"> </w:t>
        </w:r>
      </w:hyperlink>
      <w:hyperlink r:id="rId12">
        <w:r>
          <w:rPr>
            <w:color w:val="1155CC"/>
            <w:sz w:val="24"/>
            <w:szCs w:val="24"/>
            <w:u w:val="single"/>
          </w:rPr>
          <w:t>CC BY 4.0</w:t>
        </w:r>
      </w:hyperlink>
    </w:p>
    <w:sectPr w:rsidR="004D757B">
      <w:pgSz w:w="12240" w:h="15840"/>
      <w:pgMar w:top="720" w:right="720" w:bottom="720" w:left="72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757B"/>
    <w:rsid w:val="004D757B"/>
    <w:rsid w:val="00DF0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1C43B4"/>
  <w15:docId w15:val="{8869B4BA-4472-4C43-9148-D1434133F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rtcenter.highered.texas.gov/agency-publication/miscellaneous/elements-of-the-texas-core-curriculum/" TargetMode="Externa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http://www.txhighereddata.org/index.cfm?objectid=236A0150-B7C9-11E9-A3F90050560100A9" TargetMode="External"/><Relationship Id="rId12" Type="http://schemas.openxmlformats.org/officeDocument/2006/relationships/hyperlink" Target="http://creativecommons.org/licenses/by/4.0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creativecommons.org/licenses/by/4.0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docs.google.com/document/d/1fzJDzGRzzCDbOo65L8xzRUcQGtmn83LHsMMEOK-Mjm0/edit?usp=sharing" TargetMode="External"/><Relationship Id="rId4" Type="http://schemas.openxmlformats.org/officeDocument/2006/relationships/styles" Target="styles.xml"/><Relationship Id="rId9" Type="http://schemas.openxmlformats.org/officeDocument/2006/relationships/hyperlink" Target="http://board.thecb.state.tx.us/apps/WorkforceEd/wecm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3E216D9438AD429E78A83AFDD63F92" ma:contentTypeVersion="18" ma:contentTypeDescription="Create a new document." ma:contentTypeScope="" ma:versionID="741f761d87ebb6feea04db548d6a4240">
  <xsd:schema xmlns:xsd="http://www.w3.org/2001/XMLSchema" xmlns:xs="http://www.w3.org/2001/XMLSchema" xmlns:p="http://schemas.microsoft.com/office/2006/metadata/properties" xmlns:ns2="820aaaae-d110-439b-902b-21bfa3dd2027" xmlns:ns3="c31d12c0-1b48-43b4-bd3f-c34f64fa6a07" targetNamespace="http://schemas.microsoft.com/office/2006/metadata/properties" ma:root="true" ma:fieldsID="db1c9ef6ea4078a5a0aba433db805f21" ns2:_="" ns3:_="">
    <xsd:import namespace="820aaaae-d110-439b-902b-21bfa3dd2027"/>
    <xsd:import namespace="c31d12c0-1b48-43b4-bd3f-c34f64fa6a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0aaaae-d110-439b-902b-21bfa3dd20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1d12c0-1b48-43b4-bd3f-c34f64fa6a0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3c5dff2-3d98-4a1d-8419-295fe1090e80}" ma:internalName="TaxCatchAll" ma:showField="CatchAllData" ma:web="c31d12c0-1b48-43b4-bd3f-c34f64fa6a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31d12c0-1b48-43b4-bd3f-c34f64fa6a07"/>
    <lcf76f155ced4ddcb4097134ff3c332f xmlns="820aaaae-d110-439b-902b-21bfa3dd202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A2DD38C-F237-4C4E-AC14-3550A78FDE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0aaaae-d110-439b-902b-21bfa3dd2027"/>
    <ds:schemaRef ds:uri="c31d12c0-1b48-43b4-bd3f-c34f64fa6a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ED1D590-63E2-4222-8726-6FAF4ED86B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63CCD5-3B4A-43F2-820A-F188C8B6A598}">
  <ds:schemaRefs>
    <ds:schemaRef ds:uri="http://purl.org/dc/terms/"/>
    <ds:schemaRef ds:uri="820aaaae-d110-439b-902b-21bfa3dd2027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dcmitype/"/>
    <ds:schemaRef ds:uri="c31d12c0-1b48-43b4-bd3f-c34f64fa6a07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615</Words>
  <Characters>3511</Characters>
  <Application>Microsoft Office Word</Application>
  <DocSecurity>0</DocSecurity>
  <Lines>29</Lines>
  <Paragraphs>8</Paragraphs>
  <ScaleCrop>false</ScaleCrop>
  <Company/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Gits, Carrie</cp:lastModifiedBy>
  <cp:revision>2</cp:revision>
  <dcterms:created xsi:type="dcterms:W3CDTF">2023-10-16T16:57:00Z</dcterms:created>
  <dcterms:modified xsi:type="dcterms:W3CDTF">2023-10-16T16:57:00Z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0x010100EB3E216D9438AD429E78A83AFDD63F92</vt:lpwstr>
  </property>
</Properties>
</file>