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40388B" w14:textId="77777777" w:rsidR="001F139F" w:rsidRDefault="001F139F" w:rsidP="001F139F">
      <w:pPr>
        <w:pStyle w:val="BodyText"/>
        <w:spacing w:before="59"/>
        <w:jc w:val="left"/>
        <w:rPr>
          <w:b/>
          <w:bCs/>
        </w:rPr>
      </w:pPr>
      <w:r>
        <w:rPr>
          <w:b/>
          <w:bCs/>
          <w:noProof/>
        </w:rPr>
        <w:drawing>
          <wp:inline distT="0" distB="0" distL="0" distR="0" wp14:anchorId="6BC43420" wp14:editId="6110A556">
            <wp:extent cx="1455420" cy="747634"/>
            <wp:effectExtent l="0" t="0" r="0" b="0"/>
            <wp:docPr id="2" name="Picture 2" descr="THEC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CB-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4153" cy="757257"/>
                    </a:xfrm>
                    <a:prstGeom prst="rect">
                      <a:avLst/>
                    </a:prstGeom>
                  </pic:spPr>
                </pic:pic>
              </a:graphicData>
            </a:graphic>
          </wp:inline>
        </w:drawing>
      </w:r>
    </w:p>
    <w:p w14:paraId="58C60B21" w14:textId="77777777" w:rsidR="001F139F" w:rsidRDefault="001F139F" w:rsidP="001F139F">
      <w:pPr>
        <w:pStyle w:val="BodyText"/>
        <w:spacing w:before="59"/>
        <w:ind w:right="270"/>
        <w:jc w:val="center"/>
        <w:rPr>
          <w:b/>
          <w:bCs/>
          <w:sz w:val="36"/>
          <w:szCs w:val="36"/>
        </w:rPr>
      </w:pPr>
    </w:p>
    <w:p w14:paraId="40A5DAA3" w14:textId="77777777" w:rsidR="001F139F" w:rsidRPr="001F139F" w:rsidRDefault="001F139F" w:rsidP="001F139F">
      <w:pPr>
        <w:pStyle w:val="BodyText"/>
        <w:spacing w:before="59"/>
        <w:ind w:right="270"/>
        <w:jc w:val="center"/>
        <w:rPr>
          <w:b/>
          <w:bCs/>
          <w:sz w:val="36"/>
          <w:szCs w:val="36"/>
        </w:rPr>
      </w:pPr>
      <w:r w:rsidRPr="001F139F">
        <w:rPr>
          <w:b/>
          <w:bCs/>
          <w:sz w:val="36"/>
          <w:szCs w:val="36"/>
        </w:rPr>
        <w:t>Questions and Answers</w:t>
      </w:r>
    </w:p>
    <w:p w14:paraId="35C17D67" w14:textId="77777777" w:rsidR="005F0C07" w:rsidRDefault="005F0C07" w:rsidP="001F139F">
      <w:pPr>
        <w:pStyle w:val="BodyText"/>
        <w:spacing w:before="59"/>
        <w:ind w:left="2160"/>
        <w:jc w:val="center"/>
        <w:rPr>
          <w:b/>
          <w:bCs/>
        </w:rPr>
      </w:pPr>
    </w:p>
    <w:p w14:paraId="5AF49841" w14:textId="35424EF0" w:rsidR="00FD79F1" w:rsidRPr="000B4696" w:rsidRDefault="0007418C" w:rsidP="001F139F">
      <w:pPr>
        <w:jc w:val="center"/>
        <w:rPr>
          <w:rFonts w:ascii="Tahoma" w:eastAsia="Tahoma" w:hAnsi="Tahoma" w:cs="Tahoma"/>
          <w:color w:val="FF0000"/>
        </w:rPr>
      </w:pPr>
      <w:r>
        <w:rPr>
          <w:b/>
          <w:bCs/>
        </w:rPr>
        <w:t>Financial Audit Services</w:t>
      </w:r>
    </w:p>
    <w:p w14:paraId="7481EC86" w14:textId="39E46D05" w:rsidR="001F139F" w:rsidRPr="00FD79F1" w:rsidRDefault="001F139F" w:rsidP="000C617A">
      <w:pPr>
        <w:pStyle w:val="BodyText"/>
        <w:spacing w:before="59"/>
        <w:ind w:left="-180"/>
        <w:jc w:val="center"/>
        <w:rPr>
          <w:b/>
          <w:bCs/>
        </w:rPr>
      </w:pPr>
      <w:r>
        <w:rPr>
          <w:b/>
          <w:bCs/>
        </w:rPr>
        <w:t>RF</w:t>
      </w:r>
      <w:r w:rsidR="0007418C">
        <w:rPr>
          <w:b/>
          <w:bCs/>
        </w:rPr>
        <w:t>Q</w:t>
      </w:r>
      <w:r>
        <w:rPr>
          <w:b/>
          <w:bCs/>
        </w:rPr>
        <w:t xml:space="preserve">: </w:t>
      </w:r>
      <w:r w:rsidRPr="00FD79F1">
        <w:rPr>
          <w:b/>
          <w:bCs/>
        </w:rPr>
        <w:t>No. 781-</w:t>
      </w:r>
      <w:r w:rsidR="0007418C">
        <w:rPr>
          <w:b/>
          <w:bCs/>
        </w:rPr>
        <w:t>1-23173</w:t>
      </w:r>
    </w:p>
    <w:p w14:paraId="375BB4A3" w14:textId="77777777" w:rsidR="005F0C07" w:rsidRDefault="005F0C07" w:rsidP="001F139F">
      <w:pPr>
        <w:pStyle w:val="Title"/>
        <w:jc w:val="left"/>
        <w:rPr>
          <w:b/>
          <w:bCs/>
          <w:u w:val="none"/>
        </w:rPr>
      </w:pPr>
    </w:p>
    <w:p w14:paraId="579DC20C" w14:textId="77777777" w:rsidR="00F94DB7" w:rsidRPr="00B847A2" w:rsidRDefault="005F0C07" w:rsidP="009E2029">
      <w:pPr>
        <w:pStyle w:val="Title"/>
        <w:ind w:left="-90"/>
        <w:jc w:val="left"/>
        <w:rPr>
          <w:rFonts w:ascii="Tahoma" w:hAnsi="Tahoma" w:cs="Tahoma"/>
          <w:bCs/>
          <w:sz w:val="22"/>
          <w:szCs w:val="22"/>
          <w:u w:val="none"/>
        </w:rPr>
      </w:pPr>
      <w:r w:rsidRPr="00B847A2">
        <w:rPr>
          <w:rFonts w:ascii="Tahoma" w:hAnsi="Tahoma" w:cs="Tahoma"/>
          <w:b/>
          <w:bCs/>
          <w:sz w:val="22"/>
          <w:szCs w:val="22"/>
          <w:u w:val="none"/>
        </w:rPr>
        <w:t>Question 1</w:t>
      </w:r>
      <w:r w:rsidR="001F139F" w:rsidRPr="00B847A2">
        <w:rPr>
          <w:rFonts w:ascii="Tahoma" w:hAnsi="Tahoma" w:cs="Tahoma"/>
          <w:bCs/>
          <w:sz w:val="22"/>
          <w:szCs w:val="22"/>
          <w:u w:val="none"/>
        </w:rPr>
        <w:t xml:space="preserve">: </w:t>
      </w:r>
    </w:p>
    <w:p w14:paraId="73143747" w14:textId="6F34CCB2" w:rsidR="005F0C07" w:rsidRPr="00B847A2" w:rsidRDefault="0007418C" w:rsidP="009E2029">
      <w:pPr>
        <w:pStyle w:val="Title"/>
        <w:ind w:left="-90"/>
        <w:jc w:val="left"/>
        <w:rPr>
          <w:rFonts w:ascii="Tahoma" w:hAnsi="Tahoma" w:cs="Tahoma"/>
          <w:sz w:val="22"/>
          <w:szCs w:val="22"/>
          <w:u w:val="none"/>
        </w:rPr>
      </w:pPr>
      <w:r w:rsidRPr="00B847A2">
        <w:rPr>
          <w:rFonts w:ascii="Tahoma" w:hAnsi="Tahoma" w:cs="Tahoma"/>
          <w:sz w:val="22"/>
          <w:szCs w:val="22"/>
          <w:u w:val="none"/>
        </w:rPr>
        <w:t xml:space="preserve">Could you provide the latest audited financial statement for The Higher Education Coordinating </w:t>
      </w:r>
      <w:proofErr w:type="gramStart"/>
      <w:r w:rsidRPr="00B847A2">
        <w:rPr>
          <w:rFonts w:ascii="Tahoma" w:hAnsi="Tahoma" w:cs="Tahoma"/>
          <w:sz w:val="22"/>
          <w:szCs w:val="22"/>
          <w:u w:val="none"/>
        </w:rPr>
        <w:t>Board.</w:t>
      </w:r>
      <w:proofErr w:type="gramEnd"/>
      <w:r w:rsidRPr="00B847A2">
        <w:rPr>
          <w:rFonts w:ascii="Tahoma" w:hAnsi="Tahoma" w:cs="Tahoma"/>
          <w:sz w:val="22"/>
          <w:szCs w:val="22"/>
          <w:u w:val="none"/>
        </w:rPr>
        <w:t> I was unable to locate them on the website.</w:t>
      </w:r>
    </w:p>
    <w:p w14:paraId="6999975A" w14:textId="0676B1F6" w:rsidR="005F0C07" w:rsidRPr="00B847A2" w:rsidRDefault="00B052A5" w:rsidP="00F94DB7">
      <w:pPr>
        <w:pStyle w:val="Title"/>
        <w:ind w:left="-90"/>
        <w:jc w:val="left"/>
        <w:rPr>
          <w:rFonts w:ascii="Tahoma" w:hAnsi="Tahoma" w:cs="Tahoma"/>
          <w:sz w:val="22"/>
          <w:szCs w:val="22"/>
          <w:u w:val="none"/>
        </w:rPr>
      </w:pPr>
      <w:r w:rsidRPr="00B847A2">
        <w:rPr>
          <w:rFonts w:ascii="Tahoma" w:hAnsi="Tahoma" w:cs="Tahoma"/>
          <w:b/>
          <w:bCs/>
          <w:color w:val="333333"/>
          <w:sz w:val="22"/>
          <w:szCs w:val="22"/>
          <w:u w:val="none"/>
        </w:rPr>
        <w:t>Response</w:t>
      </w:r>
      <w:r w:rsidR="005F0C07" w:rsidRPr="00B847A2">
        <w:rPr>
          <w:rFonts w:ascii="Tahoma" w:hAnsi="Tahoma" w:cs="Tahoma"/>
          <w:b/>
          <w:bCs/>
          <w:sz w:val="22"/>
          <w:szCs w:val="22"/>
          <w:u w:val="none"/>
        </w:rPr>
        <w:t>:</w:t>
      </w:r>
      <w:r w:rsidR="005F0C07" w:rsidRPr="00B847A2">
        <w:rPr>
          <w:rFonts w:ascii="Tahoma" w:hAnsi="Tahoma" w:cs="Tahoma"/>
          <w:sz w:val="22"/>
          <w:szCs w:val="22"/>
          <w:u w:val="none"/>
        </w:rPr>
        <w:t xml:space="preserve">  </w:t>
      </w:r>
      <w:r w:rsidR="0007418C" w:rsidRPr="00B847A2">
        <w:rPr>
          <w:rFonts w:ascii="Tahoma" w:hAnsi="Tahoma" w:cs="Tahoma"/>
          <w:sz w:val="22"/>
          <w:szCs w:val="22"/>
          <w:u w:val="none"/>
        </w:rPr>
        <w:t>Please find the latest audited financial statement below</w:t>
      </w:r>
      <w:r w:rsidR="004C3AA9" w:rsidRPr="00B847A2">
        <w:rPr>
          <w:rFonts w:ascii="Tahoma" w:hAnsi="Tahoma" w:cs="Tahoma"/>
          <w:sz w:val="22"/>
          <w:szCs w:val="22"/>
          <w:u w:val="none"/>
        </w:rPr>
        <w:t xml:space="preserve">. It is also available under the solicitation documents listed on the </w:t>
      </w:r>
      <w:hyperlink r:id="rId8" w:history="1">
        <w:r w:rsidR="004C3AA9" w:rsidRPr="00B847A2">
          <w:rPr>
            <w:rFonts w:ascii="Tahoma" w:hAnsi="Tahoma" w:cs="Tahoma"/>
            <w:sz w:val="22"/>
            <w:szCs w:val="22"/>
            <w:u w:val="none"/>
          </w:rPr>
          <w:t>http://www.highered.texas.gov/about-us/procurement/</w:t>
        </w:r>
      </w:hyperlink>
    </w:p>
    <w:p w14:paraId="1EDE3E1F" w14:textId="4F01F24B" w:rsidR="0007418C" w:rsidRPr="00B847A2" w:rsidRDefault="0007418C" w:rsidP="007F70CE">
      <w:pPr>
        <w:pStyle w:val="Title"/>
        <w:ind w:left="-90"/>
        <w:jc w:val="left"/>
        <w:rPr>
          <w:rFonts w:ascii="Tahoma" w:hAnsi="Tahoma" w:cs="Tahoma"/>
          <w:sz w:val="22"/>
          <w:szCs w:val="22"/>
          <w:u w:val="none"/>
        </w:rPr>
      </w:pPr>
    </w:p>
    <w:p w14:paraId="18B90895" w14:textId="6C9DBA80" w:rsidR="0007418C" w:rsidRPr="00B847A2" w:rsidRDefault="0007418C" w:rsidP="007F70CE">
      <w:pPr>
        <w:pStyle w:val="Title"/>
        <w:ind w:left="-90"/>
        <w:jc w:val="left"/>
        <w:rPr>
          <w:rFonts w:ascii="Tahoma" w:hAnsi="Tahoma" w:cs="Tahoma"/>
          <w:sz w:val="22"/>
          <w:szCs w:val="22"/>
          <w:u w:val="none"/>
        </w:rPr>
      </w:pPr>
      <w:r w:rsidRPr="00B847A2">
        <w:rPr>
          <w:rFonts w:ascii="Tahoma" w:hAnsi="Tahoma" w:cs="Tahoma"/>
          <w:sz w:val="22"/>
          <w:szCs w:val="22"/>
          <w:u w:val="none"/>
        </w:rPr>
        <w:object w:dxaOrig="9180" w:dyaOrig="11880" w14:anchorId="5D66C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200pt" o:ole="">
            <v:imagedata r:id="rId9" o:title=""/>
          </v:shape>
          <o:OLEObject Type="Embed" ProgID="Acrobat.Document.DC" ShapeID="_x0000_i1025" DrawAspect="Content" ObjectID="_1658756305" r:id="rId10"/>
        </w:object>
      </w:r>
    </w:p>
    <w:p w14:paraId="2E8D8D55" w14:textId="2BBDA157" w:rsidR="009E56A5" w:rsidRPr="00B847A2" w:rsidRDefault="004C3AA9" w:rsidP="00DB0122">
      <w:pPr>
        <w:rPr>
          <w:rFonts w:ascii="Tahoma" w:hAnsi="Tahoma" w:cs="Tahoma"/>
          <w:sz w:val="22"/>
          <w:szCs w:val="22"/>
        </w:rPr>
      </w:pPr>
      <w:r w:rsidRPr="00B847A2">
        <w:rPr>
          <w:rFonts w:ascii="Tahoma" w:hAnsi="Tahoma" w:cs="Tahoma"/>
          <w:sz w:val="22"/>
          <w:szCs w:val="22"/>
        </w:rPr>
        <w:t xml:space="preserve">Double </w:t>
      </w:r>
      <w:r w:rsidR="00DB0122" w:rsidRPr="00B847A2">
        <w:rPr>
          <w:rFonts w:ascii="Tahoma" w:hAnsi="Tahoma" w:cs="Tahoma"/>
          <w:sz w:val="22"/>
          <w:szCs w:val="22"/>
        </w:rPr>
        <w:t xml:space="preserve">click to open report. </w:t>
      </w:r>
    </w:p>
    <w:p w14:paraId="61A3EE83" w14:textId="25CC70C0" w:rsidR="00DB0122" w:rsidRPr="00B847A2" w:rsidRDefault="00DB0122" w:rsidP="009E56A5">
      <w:pPr>
        <w:ind w:left="-180"/>
        <w:rPr>
          <w:rFonts w:ascii="Tahoma" w:hAnsi="Tahoma" w:cs="Tahoma"/>
          <w:sz w:val="22"/>
          <w:szCs w:val="22"/>
        </w:rPr>
      </w:pPr>
      <w:r w:rsidRPr="00B847A2">
        <w:rPr>
          <w:rFonts w:ascii="Tahoma" w:hAnsi="Tahoma" w:cs="Tahoma"/>
          <w:sz w:val="22"/>
          <w:szCs w:val="22"/>
        </w:rPr>
        <w:tab/>
        <w:t xml:space="preserve">If document does not open, please email </w:t>
      </w:r>
      <w:hyperlink r:id="rId11" w:history="1">
        <w:r w:rsidRPr="00B847A2">
          <w:rPr>
            <w:rStyle w:val="Hyperlink"/>
            <w:rFonts w:ascii="Tahoma" w:hAnsi="Tahoma" w:cs="Tahoma"/>
            <w:sz w:val="22"/>
            <w:szCs w:val="22"/>
          </w:rPr>
          <w:t>Contacts@highered.texas.gov</w:t>
        </w:r>
      </w:hyperlink>
      <w:r w:rsidRPr="00B847A2">
        <w:rPr>
          <w:rFonts w:ascii="Tahoma" w:hAnsi="Tahoma" w:cs="Tahoma"/>
          <w:sz w:val="22"/>
          <w:szCs w:val="22"/>
        </w:rPr>
        <w:t xml:space="preserve"> to request a copy.</w:t>
      </w:r>
    </w:p>
    <w:p w14:paraId="3A53F6C9" w14:textId="77777777" w:rsidR="00DB0122" w:rsidRPr="00B847A2" w:rsidRDefault="00DB0122" w:rsidP="009E56A5">
      <w:pPr>
        <w:ind w:left="-180"/>
        <w:rPr>
          <w:rFonts w:ascii="Tahoma" w:hAnsi="Tahoma" w:cs="Tahoma"/>
          <w:sz w:val="22"/>
          <w:szCs w:val="22"/>
        </w:rPr>
      </w:pPr>
    </w:p>
    <w:p w14:paraId="4732495A" w14:textId="77777777" w:rsidR="00F94DB7" w:rsidRPr="00B847A2" w:rsidRDefault="00F94DB7" w:rsidP="00F94DB7">
      <w:pPr>
        <w:rPr>
          <w:rFonts w:ascii="Tahoma" w:hAnsi="Tahoma" w:cs="Tahoma"/>
          <w:bCs/>
          <w:sz w:val="22"/>
          <w:szCs w:val="22"/>
        </w:rPr>
      </w:pPr>
      <w:r w:rsidRPr="00B847A2">
        <w:rPr>
          <w:rFonts w:ascii="Tahoma" w:hAnsi="Tahoma" w:cs="Tahoma"/>
          <w:b/>
          <w:bCs/>
          <w:sz w:val="22"/>
          <w:szCs w:val="22"/>
        </w:rPr>
        <w:t>Question 2</w:t>
      </w:r>
      <w:r w:rsidRPr="00B847A2">
        <w:rPr>
          <w:rFonts w:ascii="Tahoma" w:hAnsi="Tahoma" w:cs="Tahoma"/>
          <w:bCs/>
          <w:sz w:val="22"/>
          <w:szCs w:val="22"/>
        </w:rPr>
        <w:t xml:space="preserve">: </w:t>
      </w:r>
      <w:bookmarkStart w:id="0" w:name="_Hlk47620060"/>
    </w:p>
    <w:p w14:paraId="67496DE7" w14:textId="5FD09F56" w:rsidR="00F94DB7" w:rsidRPr="00B847A2" w:rsidRDefault="00F94DB7" w:rsidP="00F94DB7">
      <w:pPr>
        <w:rPr>
          <w:rFonts w:ascii="Tahoma" w:hAnsi="Tahoma" w:cs="Tahoma"/>
          <w:sz w:val="22"/>
          <w:szCs w:val="22"/>
        </w:rPr>
      </w:pPr>
      <w:r w:rsidRPr="00B847A2">
        <w:rPr>
          <w:rFonts w:ascii="Tahoma" w:hAnsi="Tahoma" w:cs="Tahoma"/>
          <w:sz w:val="22"/>
          <w:szCs w:val="22"/>
        </w:rPr>
        <w:t>What has generally been the timing of the fieldwork for the financial audit services?   </w:t>
      </w:r>
      <w:bookmarkEnd w:id="0"/>
    </w:p>
    <w:p w14:paraId="1168D0DA" w14:textId="6B755CC9" w:rsidR="00F94DB7" w:rsidRPr="00B847A2" w:rsidRDefault="00B052A5" w:rsidP="00F94DB7">
      <w:pPr>
        <w:rPr>
          <w:rFonts w:ascii="Tahoma" w:hAnsi="Tahoma" w:cs="Tahoma"/>
          <w:sz w:val="22"/>
          <w:szCs w:val="22"/>
        </w:rPr>
      </w:pPr>
      <w:r w:rsidRPr="00B847A2">
        <w:rPr>
          <w:rFonts w:ascii="Tahoma" w:hAnsi="Tahoma" w:cs="Tahoma"/>
          <w:b/>
          <w:bCs/>
          <w:color w:val="333333"/>
          <w:sz w:val="22"/>
          <w:szCs w:val="22"/>
        </w:rPr>
        <w:t>Response</w:t>
      </w:r>
      <w:r w:rsidR="00F94DB7" w:rsidRPr="00B847A2">
        <w:rPr>
          <w:rFonts w:ascii="Tahoma" w:hAnsi="Tahoma" w:cs="Tahoma"/>
          <w:b/>
          <w:bCs/>
          <w:sz w:val="22"/>
          <w:szCs w:val="22"/>
        </w:rPr>
        <w:t>:</w:t>
      </w:r>
      <w:r w:rsidR="00F94DB7" w:rsidRPr="00B847A2">
        <w:rPr>
          <w:rFonts w:ascii="Tahoma" w:hAnsi="Tahoma" w:cs="Tahoma"/>
          <w:sz w:val="22"/>
          <w:szCs w:val="22"/>
        </w:rPr>
        <w:t xml:space="preserve">  Planning and perhaps some of the IT fieldwork may begin early in the fiscal year. The bulk of fieldwork typically occurs during the March through June timeframe. Also, the financial statement package is not available until approximately February.</w:t>
      </w:r>
    </w:p>
    <w:p w14:paraId="01679259" w14:textId="7D20E8E6" w:rsidR="009E56A5" w:rsidRPr="00B847A2" w:rsidRDefault="009E56A5" w:rsidP="00F94DB7">
      <w:pPr>
        <w:pStyle w:val="Title"/>
        <w:jc w:val="left"/>
        <w:rPr>
          <w:rFonts w:ascii="Tahoma" w:hAnsi="Tahoma" w:cs="Tahoma"/>
          <w:sz w:val="22"/>
          <w:szCs w:val="22"/>
        </w:rPr>
      </w:pPr>
    </w:p>
    <w:p w14:paraId="1FC8021C" w14:textId="389B4851" w:rsidR="00F94DB7" w:rsidRPr="00B847A2" w:rsidRDefault="00F94DB7" w:rsidP="00F94DB7">
      <w:pPr>
        <w:rPr>
          <w:rFonts w:ascii="Tahoma" w:hAnsi="Tahoma" w:cs="Tahoma"/>
          <w:bCs/>
          <w:sz w:val="22"/>
          <w:szCs w:val="22"/>
        </w:rPr>
      </w:pPr>
      <w:r w:rsidRPr="00B847A2">
        <w:rPr>
          <w:rFonts w:ascii="Tahoma" w:hAnsi="Tahoma" w:cs="Tahoma"/>
          <w:b/>
          <w:bCs/>
          <w:sz w:val="22"/>
          <w:szCs w:val="22"/>
        </w:rPr>
        <w:t>Question 3</w:t>
      </w:r>
      <w:r w:rsidRPr="00B847A2">
        <w:rPr>
          <w:rFonts w:ascii="Tahoma" w:hAnsi="Tahoma" w:cs="Tahoma"/>
          <w:bCs/>
          <w:sz w:val="22"/>
          <w:szCs w:val="22"/>
        </w:rPr>
        <w:t xml:space="preserve">: </w:t>
      </w:r>
    </w:p>
    <w:p w14:paraId="1E83CEF0" w14:textId="04515DCE" w:rsidR="00F94DB7" w:rsidRPr="00B847A2" w:rsidRDefault="00F94DB7" w:rsidP="00F94DB7">
      <w:pPr>
        <w:rPr>
          <w:rFonts w:ascii="Tahoma" w:hAnsi="Tahoma" w:cs="Tahoma"/>
          <w:sz w:val="22"/>
          <w:szCs w:val="22"/>
        </w:rPr>
      </w:pPr>
      <w:r w:rsidRPr="00B847A2">
        <w:rPr>
          <w:rFonts w:ascii="Tahoma" w:hAnsi="Tahoma" w:cs="Tahoma"/>
          <w:sz w:val="22"/>
          <w:szCs w:val="22"/>
        </w:rPr>
        <w:t>Have there been any changes in key management personnel in the last 2 years?</w:t>
      </w:r>
    </w:p>
    <w:p w14:paraId="6E79B9C4" w14:textId="7180FF6D" w:rsidR="00F94DB7" w:rsidRPr="00B847A2" w:rsidRDefault="00B052A5" w:rsidP="00F94DB7">
      <w:pPr>
        <w:rPr>
          <w:rFonts w:ascii="Tahoma" w:hAnsi="Tahoma" w:cs="Tahoma"/>
          <w:sz w:val="22"/>
          <w:szCs w:val="22"/>
        </w:rPr>
      </w:pPr>
      <w:r w:rsidRPr="00B847A2">
        <w:rPr>
          <w:rFonts w:ascii="Tahoma" w:hAnsi="Tahoma" w:cs="Tahoma"/>
          <w:b/>
          <w:bCs/>
          <w:color w:val="333333"/>
          <w:sz w:val="22"/>
          <w:szCs w:val="22"/>
        </w:rPr>
        <w:t>Response</w:t>
      </w:r>
      <w:r w:rsidR="00F94DB7" w:rsidRPr="00B847A2">
        <w:rPr>
          <w:rFonts w:ascii="Tahoma" w:hAnsi="Tahoma" w:cs="Tahoma"/>
          <w:b/>
          <w:bCs/>
          <w:sz w:val="22"/>
          <w:szCs w:val="22"/>
        </w:rPr>
        <w:t>:</w:t>
      </w:r>
      <w:r w:rsidR="00F94DB7" w:rsidRPr="00B847A2">
        <w:rPr>
          <w:rFonts w:ascii="Tahoma" w:hAnsi="Tahoma" w:cs="Tahoma"/>
          <w:sz w:val="22"/>
          <w:szCs w:val="22"/>
        </w:rPr>
        <w:t xml:space="preserve">  Yes.  We have the following new members of our leadership team:</w:t>
      </w:r>
    </w:p>
    <w:p w14:paraId="4ED88771"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t>Dr. Harrison Keller, Commissioner</w:t>
      </w:r>
    </w:p>
    <w:p w14:paraId="63D0E1F9"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t>Mr. Rey Rodriguez, Deputy Commissioner and Chief of Staff</w:t>
      </w:r>
    </w:p>
    <w:p w14:paraId="5F7A0B2F"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t>Ms. Nicole Bunker-Henderson, General Counsel</w:t>
      </w:r>
    </w:p>
    <w:p w14:paraId="680C0255"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t>Mr. Ray Martinez, Deputy Commissioner of Academic Affairs and Workforce Education</w:t>
      </w:r>
    </w:p>
    <w:p w14:paraId="2FC2652D"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lastRenderedPageBreak/>
        <w:t>Ms. Lori Fey, Deputy Commissioner of Data Analytics and Innovation</w:t>
      </w:r>
    </w:p>
    <w:p w14:paraId="4FB03136" w14:textId="77777777" w:rsidR="00F94DB7" w:rsidRPr="00B847A2" w:rsidRDefault="00F94DB7" w:rsidP="00F94DB7">
      <w:pPr>
        <w:pStyle w:val="ListParagraph"/>
        <w:numPr>
          <w:ilvl w:val="1"/>
          <w:numId w:val="4"/>
        </w:numPr>
        <w:ind w:left="810"/>
        <w:rPr>
          <w:rFonts w:ascii="Tahoma" w:eastAsia="Times New Roman" w:hAnsi="Tahoma" w:cs="Tahoma"/>
          <w:color w:val="333333"/>
        </w:rPr>
      </w:pPr>
      <w:r w:rsidRPr="00B847A2">
        <w:rPr>
          <w:rFonts w:ascii="Tahoma" w:eastAsia="Times New Roman" w:hAnsi="Tahoma" w:cs="Tahoma"/>
          <w:color w:val="333333"/>
        </w:rPr>
        <w:t>Ms. Melissa Henderson, Associate Commissioner of Development</w:t>
      </w:r>
    </w:p>
    <w:p w14:paraId="7D6607F7" w14:textId="69A7349F" w:rsidR="009E56A5" w:rsidRPr="00B847A2" w:rsidRDefault="009E56A5" w:rsidP="00F94DB7">
      <w:pPr>
        <w:ind w:left="-720"/>
        <w:rPr>
          <w:rFonts w:ascii="Tahoma" w:hAnsi="Tahoma" w:cs="Tahoma"/>
          <w:sz w:val="22"/>
          <w:szCs w:val="22"/>
        </w:rPr>
      </w:pPr>
    </w:p>
    <w:p w14:paraId="48EA67D9" w14:textId="5E6394E1" w:rsidR="00F94DB7" w:rsidRPr="00B847A2" w:rsidRDefault="00F94DB7" w:rsidP="00F94DB7">
      <w:pPr>
        <w:rPr>
          <w:rFonts w:ascii="Tahoma" w:hAnsi="Tahoma" w:cs="Tahoma"/>
          <w:bCs/>
          <w:sz w:val="22"/>
          <w:szCs w:val="22"/>
        </w:rPr>
      </w:pPr>
      <w:r w:rsidRPr="00B847A2">
        <w:rPr>
          <w:rFonts w:ascii="Tahoma" w:hAnsi="Tahoma" w:cs="Tahoma"/>
          <w:b/>
          <w:bCs/>
          <w:sz w:val="22"/>
          <w:szCs w:val="22"/>
        </w:rPr>
        <w:t>Question 4</w:t>
      </w:r>
      <w:r w:rsidRPr="00B847A2">
        <w:rPr>
          <w:rFonts w:ascii="Tahoma" w:hAnsi="Tahoma" w:cs="Tahoma"/>
          <w:bCs/>
          <w:sz w:val="22"/>
          <w:szCs w:val="22"/>
        </w:rPr>
        <w:t xml:space="preserve">: </w:t>
      </w:r>
    </w:p>
    <w:p w14:paraId="77A1D518" w14:textId="77777777" w:rsidR="00F94DB7" w:rsidRPr="00B847A2" w:rsidRDefault="00F94DB7" w:rsidP="00F94DB7">
      <w:pPr>
        <w:rPr>
          <w:rFonts w:ascii="Tahoma" w:hAnsi="Tahoma" w:cs="Tahoma"/>
          <w:color w:val="333333"/>
          <w:sz w:val="22"/>
          <w:szCs w:val="22"/>
        </w:rPr>
      </w:pPr>
      <w:r w:rsidRPr="00B847A2">
        <w:rPr>
          <w:rFonts w:ascii="Tahoma" w:hAnsi="Tahoma" w:cs="Tahoma"/>
          <w:color w:val="333333"/>
          <w:sz w:val="22"/>
          <w:szCs w:val="22"/>
        </w:rPr>
        <w:t xml:space="preserve">Have there been any changes in major IT systems in the last 2 years? </w:t>
      </w:r>
    </w:p>
    <w:p w14:paraId="5422AC39" w14:textId="5724E91A" w:rsidR="00F94DB7" w:rsidRPr="00B847A2" w:rsidRDefault="00B052A5" w:rsidP="00F94DB7">
      <w:pPr>
        <w:rPr>
          <w:rFonts w:ascii="Tahoma" w:hAnsi="Tahoma" w:cs="Tahoma"/>
          <w:color w:val="333333"/>
          <w:sz w:val="22"/>
          <w:szCs w:val="22"/>
        </w:rPr>
      </w:pPr>
      <w:r w:rsidRPr="00B847A2">
        <w:rPr>
          <w:rFonts w:ascii="Tahoma" w:hAnsi="Tahoma" w:cs="Tahoma"/>
          <w:b/>
          <w:bCs/>
          <w:color w:val="333333"/>
          <w:sz w:val="22"/>
          <w:szCs w:val="22"/>
        </w:rPr>
        <w:t>Response</w:t>
      </w:r>
      <w:r w:rsidR="00F94DB7" w:rsidRPr="00B847A2">
        <w:rPr>
          <w:rFonts w:ascii="Tahoma" w:hAnsi="Tahoma" w:cs="Tahoma"/>
          <w:b/>
          <w:bCs/>
          <w:color w:val="333333"/>
          <w:sz w:val="22"/>
          <w:szCs w:val="22"/>
        </w:rPr>
        <w:t>:</w:t>
      </w:r>
      <w:r w:rsidR="00F94DB7" w:rsidRPr="00B847A2">
        <w:rPr>
          <w:rFonts w:ascii="Tahoma" w:hAnsi="Tahoma" w:cs="Tahoma"/>
          <w:color w:val="333333"/>
          <w:sz w:val="22"/>
          <w:szCs w:val="22"/>
        </w:rPr>
        <w:t xml:space="preserve">  None.</w:t>
      </w:r>
    </w:p>
    <w:p w14:paraId="6A959E37" w14:textId="7048E0BD" w:rsidR="00EF4794" w:rsidRPr="00B847A2" w:rsidRDefault="00EF4794" w:rsidP="00F94DB7">
      <w:pPr>
        <w:rPr>
          <w:rFonts w:ascii="Tahoma" w:hAnsi="Tahoma" w:cs="Tahoma"/>
          <w:b/>
          <w:sz w:val="22"/>
          <w:szCs w:val="22"/>
        </w:rPr>
      </w:pPr>
    </w:p>
    <w:p w14:paraId="6253F04C" w14:textId="0F2E1D4D" w:rsidR="00F94DB7" w:rsidRPr="00B847A2" w:rsidRDefault="00F94DB7" w:rsidP="00F94DB7">
      <w:pPr>
        <w:rPr>
          <w:rFonts w:ascii="Tahoma" w:hAnsi="Tahoma" w:cs="Tahoma"/>
          <w:bCs/>
          <w:sz w:val="22"/>
          <w:szCs w:val="22"/>
        </w:rPr>
      </w:pPr>
      <w:r w:rsidRPr="00B847A2">
        <w:rPr>
          <w:rFonts w:ascii="Tahoma" w:hAnsi="Tahoma" w:cs="Tahoma"/>
          <w:b/>
          <w:bCs/>
          <w:sz w:val="22"/>
          <w:szCs w:val="22"/>
        </w:rPr>
        <w:t>Question 5</w:t>
      </w:r>
      <w:r w:rsidRPr="00B847A2">
        <w:rPr>
          <w:rFonts w:ascii="Tahoma" w:hAnsi="Tahoma" w:cs="Tahoma"/>
          <w:bCs/>
          <w:sz w:val="22"/>
          <w:szCs w:val="22"/>
        </w:rPr>
        <w:t xml:space="preserve">: </w:t>
      </w:r>
    </w:p>
    <w:p w14:paraId="483A10C7" w14:textId="77777777" w:rsidR="00F94DB7" w:rsidRPr="00B847A2" w:rsidRDefault="00F94DB7" w:rsidP="00F94DB7">
      <w:pPr>
        <w:rPr>
          <w:rFonts w:ascii="Tahoma" w:hAnsi="Tahoma" w:cs="Tahoma"/>
          <w:color w:val="333333"/>
          <w:sz w:val="22"/>
          <w:szCs w:val="22"/>
        </w:rPr>
      </w:pPr>
      <w:r w:rsidRPr="00B847A2">
        <w:rPr>
          <w:rFonts w:ascii="Tahoma" w:hAnsi="Tahoma" w:cs="Tahoma"/>
          <w:color w:val="333333"/>
          <w:sz w:val="22"/>
          <w:szCs w:val="22"/>
        </w:rPr>
        <w:t>Were there any management letters or significant audit adjustments in the last 2 years?</w:t>
      </w:r>
    </w:p>
    <w:p w14:paraId="2D390BAC" w14:textId="183969D4" w:rsidR="00F94DB7" w:rsidRPr="00B847A2" w:rsidRDefault="00B052A5" w:rsidP="00F94DB7">
      <w:pPr>
        <w:rPr>
          <w:rFonts w:ascii="Tahoma" w:hAnsi="Tahoma" w:cs="Tahoma"/>
          <w:b/>
          <w:bCs/>
          <w:i/>
          <w:iCs/>
          <w:color w:val="333333"/>
          <w:sz w:val="22"/>
          <w:szCs w:val="22"/>
        </w:rPr>
      </w:pPr>
      <w:r w:rsidRPr="00B847A2">
        <w:rPr>
          <w:rFonts w:ascii="Tahoma" w:hAnsi="Tahoma" w:cs="Tahoma"/>
          <w:b/>
          <w:bCs/>
          <w:color w:val="333333"/>
          <w:sz w:val="22"/>
          <w:szCs w:val="22"/>
        </w:rPr>
        <w:t>Response</w:t>
      </w:r>
      <w:r w:rsidR="00F94DB7" w:rsidRPr="00B847A2">
        <w:rPr>
          <w:rFonts w:ascii="Tahoma" w:hAnsi="Tahoma" w:cs="Tahoma"/>
          <w:b/>
          <w:bCs/>
          <w:sz w:val="22"/>
          <w:szCs w:val="22"/>
        </w:rPr>
        <w:t>:</w:t>
      </w:r>
      <w:r w:rsidR="00F94DB7" w:rsidRPr="00B847A2">
        <w:rPr>
          <w:rFonts w:ascii="Tahoma" w:hAnsi="Tahoma" w:cs="Tahoma"/>
          <w:sz w:val="22"/>
          <w:szCs w:val="22"/>
        </w:rPr>
        <w:t xml:space="preserve">  </w:t>
      </w:r>
      <w:r w:rsidR="00F94DB7" w:rsidRPr="00B847A2">
        <w:rPr>
          <w:rFonts w:ascii="Tahoma" w:hAnsi="Tahoma" w:cs="Tahoma"/>
          <w:color w:val="333333"/>
          <w:sz w:val="22"/>
          <w:szCs w:val="22"/>
        </w:rPr>
        <w:t>None.</w:t>
      </w:r>
    </w:p>
    <w:p w14:paraId="08E382B2" w14:textId="56CF840C" w:rsidR="009E2029" w:rsidRPr="00B847A2" w:rsidRDefault="009E2029" w:rsidP="009E2029">
      <w:pPr>
        <w:rPr>
          <w:rFonts w:ascii="Tahoma" w:hAnsi="Tahoma" w:cs="Tahoma"/>
          <w:sz w:val="22"/>
          <w:szCs w:val="22"/>
        </w:rPr>
      </w:pPr>
    </w:p>
    <w:p w14:paraId="77926F7F" w14:textId="02D0CD46" w:rsidR="00E71780" w:rsidRPr="00B847A2" w:rsidRDefault="00E71780" w:rsidP="00E71780">
      <w:pPr>
        <w:rPr>
          <w:rFonts w:ascii="Tahoma" w:hAnsi="Tahoma" w:cs="Tahoma"/>
          <w:bCs/>
          <w:sz w:val="22"/>
          <w:szCs w:val="22"/>
        </w:rPr>
      </w:pPr>
      <w:r w:rsidRPr="00B847A2">
        <w:rPr>
          <w:rFonts w:ascii="Tahoma" w:hAnsi="Tahoma" w:cs="Tahoma"/>
          <w:b/>
          <w:bCs/>
          <w:sz w:val="22"/>
          <w:szCs w:val="22"/>
        </w:rPr>
        <w:t>Question 6</w:t>
      </w:r>
      <w:r w:rsidRPr="00B847A2">
        <w:rPr>
          <w:rFonts w:ascii="Tahoma" w:hAnsi="Tahoma" w:cs="Tahoma"/>
          <w:bCs/>
          <w:sz w:val="22"/>
          <w:szCs w:val="22"/>
        </w:rPr>
        <w:t xml:space="preserve">: </w:t>
      </w:r>
    </w:p>
    <w:p w14:paraId="72803EF5" w14:textId="77777777" w:rsidR="00E71780" w:rsidRPr="00B847A2" w:rsidRDefault="00E71780" w:rsidP="00E71780">
      <w:pPr>
        <w:rPr>
          <w:rFonts w:ascii="Tahoma" w:hAnsi="Tahoma" w:cs="Tahoma"/>
          <w:color w:val="333333"/>
          <w:sz w:val="22"/>
          <w:szCs w:val="22"/>
        </w:rPr>
      </w:pPr>
      <w:r w:rsidRPr="00B847A2">
        <w:rPr>
          <w:rFonts w:ascii="Tahoma" w:hAnsi="Tahoma" w:cs="Tahoma"/>
          <w:color w:val="333333"/>
          <w:sz w:val="22"/>
          <w:szCs w:val="22"/>
        </w:rPr>
        <w:t>Can you disclose the audit fees for the financial audit services for the past year?</w:t>
      </w:r>
    </w:p>
    <w:p w14:paraId="77CC656A" w14:textId="49B379CD" w:rsidR="00E71780" w:rsidRPr="00B847A2" w:rsidRDefault="00B052A5" w:rsidP="00E71780">
      <w:pPr>
        <w:pStyle w:val="Default"/>
        <w:rPr>
          <w:color w:val="333333"/>
          <w:sz w:val="22"/>
          <w:szCs w:val="22"/>
        </w:rPr>
      </w:pPr>
      <w:r w:rsidRPr="00B847A2">
        <w:rPr>
          <w:b/>
          <w:bCs/>
          <w:color w:val="333333"/>
          <w:sz w:val="22"/>
          <w:szCs w:val="22"/>
        </w:rPr>
        <w:t>Response</w:t>
      </w:r>
      <w:r w:rsidR="00E71780" w:rsidRPr="00B847A2">
        <w:rPr>
          <w:b/>
          <w:bCs/>
          <w:color w:val="333333"/>
          <w:sz w:val="22"/>
          <w:szCs w:val="22"/>
        </w:rPr>
        <w:t>:</w:t>
      </w:r>
      <w:r w:rsidR="00E71780" w:rsidRPr="00B847A2">
        <w:rPr>
          <w:color w:val="333333"/>
          <w:sz w:val="22"/>
          <w:szCs w:val="22"/>
        </w:rPr>
        <w:t xml:space="preserve">  Yes.  The current contract to conduct an agency-wide financial statement audit for fiscal year ended August 31, 2019 was executed with KPMG for a fixed fee of $199,200. (THECB Agency Operations Committee meeting July 22, 2020, Agenda Item VI-A)</w:t>
      </w:r>
    </w:p>
    <w:p w14:paraId="7760C8CB" w14:textId="775B92A8" w:rsidR="00E71780" w:rsidRPr="00B847A2" w:rsidRDefault="00E71780" w:rsidP="00E71780">
      <w:pPr>
        <w:rPr>
          <w:rFonts w:ascii="Tahoma" w:hAnsi="Tahoma" w:cs="Tahoma"/>
          <w:b/>
          <w:bCs/>
          <w:i/>
          <w:iCs/>
          <w:color w:val="333333"/>
          <w:sz w:val="22"/>
          <w:szCs w:val="22"/>
        </w:rPr>
      </w:pPr>
    </w:p>
    <w:p w14:paraId="4E73649F" w14:textId="77777777" w:rsidR="00E71780" w:rsidRPr="00B847A2" w:rsidRDefault="00E71780" w:rsidP="00E71780">
      <w:pPr>
        <w:rPr>
          <w:rFonts w:ascii="Tahoma" w:hAnsi="Tahoma" w:cs="Tahoma"/>
          <w:bCs/>
          <w:sz w:val="22"/>
          <w:szCs w:val="22"/>
        </w:rPr>
      </w:pPr>
      <w:r w:rsidRPr="00B847A2">
        <w:rPr>
          <w:rFonts w:ascii="Tahoma" w:hAnsi="Tahoma" w:cs="Tahoma"/>
          <w:b/>
          <w:bCs/>
          <w:sz w:val="22"/>
          <w:szCs w:val="22"/>
        </w:rPr>
        <w:t>Question 7</w:t>
      </w:r>
      <w:r w:rsidRPr="00B847A2">
        <w:rPr>
          <w:rFonts w:ascii="Tahoma" w:hAnsi="Tahoma" w:cs="Tahoma"/>
          <w:bCs/>
          <w:sz w:val="22"/>
          <w:szCs w:val="22"/>
        </w:rPr>
        <w:t>:</w:t>
      </w:r>
    </w:p>
    <w:p w14:paraId="70994A1D" w14:textId="6976D1A4" w:rsidR="00E71780" w:rsidRPr="00B847A2" w:rsidRDefault="00E71780" w:rsidP="00E71780">
      <w:pPr>
        <w:rPr>
          <w:rFonts w:ascii="Tahoma" w:hAnsi="Tahoma" w:cs="Tahoma"/>
          <w:color w:val="333333"/>
          <w:sz w:val="22"/>
          <w:szCs w:val="22"/>
        </w:rPr>
      </w:pPr>
      <w:r w:rsidRPr="00B847A2">
        <w:rPr>
          <w:rFonts w:ascii="Tahoma" w:hAnsi="Tahoma" w:cs="Tahoma"/>
          <w:color w:val="333333"/>
          <w:sz w:val="22"/>
          <w:szCs w:val="22"/>
        </w:rPr>
        <w:t xml:space="preserve">Have you received or do you anticipate receiving and spending funding related to the COVID-19 pandemic in fiscal year 2020 or 2021? </w:t>
      </w:r>
    </w:p>
    <w:p w14:paraId="0A1879AA" w14:textId="0DF6166B" w:rsidR="00E71780" w:rsidRPr="00B847A2" w:rsidRDefault="00B052A5" w:rsidP="00E71780">
      <w:pPr>
        <w:pStyle w:val="ListParagraph"/>
        <w:ind w:left="0"/>
        <w:rPr>
          <w:rFonts w:ascii="Tahoma" w:eastAsia="Times New Roman" w:hAnsi="Tahoma" w:cs="Tahoma"/>
          <w:color w:val="333333"/>
        </w:rPr>
      </w:pPr>
      <w:r w:rsidRPr="00B847A2">
        <w:rPr>
          <w:rFonts w:ascii="Tahoma" w:hAnsi="Tahoma" w:cs="Tahoma"/>
          <w:b/>
          <w:bCs/>
          <w:color w:val="333333"/>
        </w:rPr>
        <w:t>Response</w:t>
      </w:r>
      <w:r w:rsidR="00E71780" w:rsidRPr="00B847A2">
        <w:rPr>
          <w:rFonts w:ascii="Tahoma" w:hAnsi="Tahoma" w:cs="Tahoma"/>
          <w:b/>
          <w:bCs/>
          <w:color w:val="333333"/>
        </w:rPr>
        <w:t>:</w:t>
      </w:r>
      <w:r w:rsidR="00E71780" w:rsidRPr="00B847A2">
        <w:rPr>
          <w:rFonts w:ascii="Tahoma" w:hAnsi="Tahoma" w:cs="Tahoma"/>
          <w:color w:val="333333"/>
        </w:rPr>
        <w:t xml:space="preserve">  </w:t>
      </w:r>
      <w:r w:rsidR="00E71780" w:rsidRPr="00B847A2">
        <w:rPr>
          <w:rFonts w:ascii="Tahoma" w:eastAsia="Times New Roman" w:hAnsi="Tahoma" w:cs="Tahoma"/>
          <w:color w:val="333333"/>
        </w:rPr>
        <w:t xml:space="preserve">Yes.  During the week of July 10, 2020, Governor Abbott announced </w:t>
      </w:r>
      <w:hyperlink r:id="rId12" w:history="1">
        <w:r w:rsidR="00E71780" w:rsidRPr="00B847A2">
          <w:rPr>
            <w:rFonts w:ascii="Tahoma" w:eastAsia="Times New Roman" w:hAnsi="Tahoma" w:cs="Tahoma"/>
            <w:color w:val="333333"/>
          </w:rPr>
          <w:t>Texas will invest $57 million</w:t>
        </w:r>
      </w:hyperlink>
      <w:r w:rsidR="00E71780" w:rsidRPr="00B847A2">
        <w:rPr>
          <w:rFonts w:ascii="Tahoma" w:eastAsia="Times New Roman" w:hAnsi="Tahoma" w:cs="Tahoma"/>
          <w:color w:val="333333"/>
        </w:rPr>
        <w:t> in federal funds to maintain the state’s need-based financial aid programs, including TEXAS Grants, Texas Educational Opportunity Grants, and Tuition Equalization Grants, to help keep more students enrolled at their colleges and universities.</w:t>
      </w:r>
    </w:p>
    <w:p w14:paraId="680037BC" w14:textId="77777777" w:rsidR="00E71780" w:rsidRPr="00B847A2" w:rsidRDefault="00E71780" w:rsidP="00E71780">
      <w:pPr>
        <w:pStyle w:val="NormalWeb"/>
        <w:spacing w:before="0" w:beforeAutospacing="0" w:after="0" w:afterAutospacing="0"/>
        <w:rPr>
          <w:rFonts w:ascii="Tahoma" w:eastAsia="Times New Roman" w:hAnsi="Tahoma" w:cs="Tahoma"/>
          <w:color w:val="333333"/>
        </w:rPr>
      </w:pPr>
    </w:p>
    <w:p w14:paraId="6B67245A" w14:textId="77777777" w:rsidR="00E71780" w:rsidRPr="00B847A2" w:rsidRDefault="00E71780" w:rsidP="00E71780">
      <w:pPr>
        <w:pStyle w:val="NormalWeb"/>
        <w:spacing w:before="0" w:beforeAutospacing="0" w:after="0" w:afterAutospacing="0"/>
        <w:rPr>
          <w:rFonts w:ascii="Tahoma" w:eastAsia="Times New Roman" w:hAnsi="Tahoma" w:cs="Tahoma"/>
          <w:color w:val="333333"/>
        </w:rPr>
      </w:pPr>
      <w:r w:rsidRPr="00B847A2">
        <w:rPr>
          <w:rFonts w:ascii="Tahoma" w:eastAsia="Times New Roman" w:hAnsi="Tahoma" w:cs="Tahoma"/>
          <w:color w:val="333333"/>
        </w:rPr>
        <w:t>Also, during the week of July 24, Governor Abbott and the legislative leadership </w:t>
      </w:r>
      <w:hyperlink r:id="rId13" w:history="1">
        <w:r w:rsidRPr="00B847A2">
          <w:rPr>
            <w:rFonts w:ascii="Tahoma" w:eastAsia="Times New Roman" w:hAnsi="Tahoma" w:cs="Tahoma"/>
            <w:color w:val="333333"/>
          </w:rPr>
          <w:t>announced</w:t>
        </w:r>
      </w:hyperlink>
      <w:r w:rsidRPr="00B847A2">
        <w:rPr>
          <w:rFonts w:ascii="Tahoma" w:eastAsia="Times New Roman" w:hAnsi="Tahoma" w:cs="Tahoma"/>
          <w:color w:val="333333"/>
        </w:rPr>
        <w:t> an additional $118 million in federal funding to support Texas higher education, including $93 million in financial aid to help students continue or restart their progress toward earning a postsecondary credential of value. </w:t>
      </w:r>
    </w:p>
    <w:p w14:paraId="3DE543A6" w14:textId="77777777" w:rsidR="006F4CD4" w:rsidRPr="00B847A2" w:rsidRDefault="006F4CD4" w:rsidP="001019D5">
      <w:pPr>
        <w:pStyle w:val="Title"/>
        <w:ind w:left="-90"/>
        <w:jc w:val="left"/>
        <w:rPr>
          <w:rFonts w:ascii="Tahoma" w:hAnsi="Tahoma" w:cs="Tahoma"/>
          <w:b/>
          <w:bCs/>
          <w:sz w:val="22"/>
          <w:szCs w:val="22"/>
          <w:u w:val="none"/>
          <w:lang w:val="en"/>
        </w:rPr>
      </w:pPr>
    </w:p>
    <w:p w14:paraId="4EFCAF7B" w14:textId="3C7B8DD0" w:rsidR="00411287" w:rsidRPr="00B847A2" w:rsidRDefault="00411287" w:rsidP="00411287">
      <w:pPr>
        <w:rPr>
          <w:rFonts w:ascii="Tahoma" w:hAnsi="Tahoma" w:cs="Tahoma"/>
          <w:bCs/>
          <w:sz w:val="22"/>
          <w:szCs w:val="22"/>
        </w:rPr>
      </w:pPr>
      <w:r w:rsidRPr="00B847A2">
        <w:rPr>
          <w:rFonts w:ascii="Tahoma" w:hAnsi="Tahoma" w:cs="Tahoma"/>
          <w:b/>
          <w:bCs/>
          <w:sz w:val="22"/>
          <w:szCs w:val="22"/>
        </w:rPr>
        <w:t>Question 8</w:t>
      </w:r>
      <w:r w:rsidRPr="00B847A2">
        <w:rPr>
          <w:rFonts w:ascii="Tahoma" w:hAnsi="Tahoma" w:cs="Tahoma"/>
          <w:bCs/>
          <w:sz w:val="22"/>
          <w:szCs w:val="22"/>
        </w:rPr>
        <w:t>:</w:t>
      </w:r>
    </w:p>
    <w:p w14:paraId="169D2F6F" w14:textId="463EFD1B" w:rsidR="00411287" w:rsidRPr="00B847A2" w:rsidRDefault="00411287" w:rsidP="00411287">
      <w:pPr>
        <w:rPr>
          <w:rFonts w:ascii="Tahoma" w:hAnsi="Tahoma" w:cs="Tahoma"/>
          <w:color w:val="333333"/>
          <w:sz w:val="22"/>
          <w:szCs w:val="22"/>
        </w:rPr>
      </w:pPr>
      <w:r w:rsidRPr="00B847A2">
        <w:rPr>
          <w:rFonts w:ascii="Tahoma" w:hAnsi="Tahoma" w:cs="Tahoma"/>
          <w:color w:val="333333"/>
          <w:sz w:val="22"/>
          <w:szCs w:val="22"/>
        </w:rPr>
        <w:t>Does management draft their own financial statements?</w:t>
      </w:r>
    </w:p>
    <w:p w14:paraId="6C22AB89" w14:textId="39AC9B09" w:rsidR="00411287" w:rsidRPr="00B847A2" w:rsidRDefault="00B052A5" w:rsidP="00411287">
      <w:pPr>
        <w:rPr>
          <w:rFonts w:ascii="Tahoma" w:hAnsi="Tahoma" w:cs="Tahoma"/>
          <w:color w:val="333333"/>
          <w:sz w:val="22"/>
          <w:szCs w:val="22"/>
        </w:rPr>
      </w:pPr>
      <w:r w:rsidRPr="00B847A2">
        <w:rPr>
          <w:rFonts w:ascii="Tahoma" w:hAnsi="Tahoma" w:cs="Tahoma"/>
          <w:b/>
          <w:bCs/>
          <w:color w:val="333333"/>
          <w:sz w:val="22"/>
          <w:szCs w:val="22"/>
        </w:rPr>
        <w:t>Response</w:t>
      </w:r>
      <w:r w:rsidR="00411287" w:rsidRPr="00B847A2">
        <w:rPr>
          <w:rFonts w:ascii="Tahoma" w:hAnsi="Tahoma" w:cs="Tahoma"/>
          <w:b/>
          <w:bCs/>
          <w:color w:val="333333"/>
          <w:sz w:val="22"/>
          <w:szCs w:val="22"/>
        </w:rPr>
        <w:t>:</w:t>
      </w:r>
      <w:r w:rsidR="00411287" w:rsidRPr="00B847A2">
        <w:rPr>
          <w:rFonts w:ascii="Tahoma" w:hAnsi="Tahoma" w:cs="Tahoma"/>
          <w:color w:val="333333"/>
          <w:sz w:val="22"/>
          <w:szCs w:val="22"/>
        </w:rPr>
        <w:t xml:space="preserve"> The Deputy Commissioner for Financial Services/CFO is responsible for oversight of this activity.</w:t>
      </w:r>
    </w:p>
    <w:p w14:paraId="7980D577" w14:textId="091B960B" w:rsidR="00411287" w:rsidRPr="00B847A2" w:rsidRDefault="00411287" w:rsidP="00411287">
      <w:pPr>
        <w:rPr>
          <w:rFonts w:ascii="Tahoma" w:hAnsi="Tahoma" w:cs="Tahoma"/>
          <w:color w:val="333333"/>
          <w:sz w:val="22"/>
          <w:szCs w:val="22"/>
        </w:rPr>
      </w:pPr>
    </w:p>
    <w:p w14:paraId="111622DE" w14:textId="2DCB2A43" w:rsidR="00411287" w:rsidRPr="00B847A2" w:rsidRDefault="00411287" w:rsidP="00411287">
      <w:pPr>
        <w:rPr>
          <w:rFonts w:ascii="Tahoma" w:hAnsi="Tahoma" w:cs="Tahoma"/>
          <w:bCs/>
          <w:sz w:val="22"/>
          <w:szCs w:val="22"/>
        </w:rPr>
      </w:pPr>
      <w:r w:rsidRPr="00B847A2">
        <w:rPr>
          <w:rFonts w:ascii="Tahoma" w:hAnsi="Tahoma" w:cs="Tahoma"/>
          <w:b/>
          <w:bCs/>
          <w:sz w:val="22"/>
          <w:szCs w:val="22"/>
        </w:rPr>
        <w:t>Question 9</w:t>
      </w:r>
      <w:r w:rsidRPr="00B847A2">
        <w:rPr>
          <w:rFonts w:ascii="Tahoma" w:hAnsi="Tahoma" w:cs="Tahoma"/>
          <w:bCs/>
          <w:sz w:val="22"/>
          <w:szCs w:val="22"/>
        </w:rPr>
        <w:t>:</w:t>
      </w:r>
    </w:p>
    <w:p w14:paraId="0C845491" w14:textId="77777777" w:rsidR="00411287" w:rsidRPr="00B847A2" w:rsidRDefault="00411287" w:rsidP="00411287">
      <w:pPr>
        <w:rPr>
          <w:rFonts w:ascii="Tahoma" w:hAnsi="Tahoma" w:cs="Tahoma"/>
          <w:color w:val="333333"/>
          <w:sz w:val="22"/>
          <w:szCs w:val="22"/>
        </w:rPr>
      </w:pPr>
      <w:r w:rsidRPr="00B847A2">
        <w:rPr>
          <w:rFonts w:ascii="Tahoma" w:hAnsi="Tahoma" w:cs="Tahoma"/>
          <w:color w:val="333333"/>
          <w:sz w:val="22"/>
          <w:szCs w:val="22"/>
        </w:rPr>
        <w:t xml:space="preserve">a.) Is there to be a single audit under this RFQ as well? b.) If not, what is the timing of the single audit finding results and c.) Will the financial statement auditor have access to those results before significant fieldwork for the financial statement audit?  </w:t>
      </w:r>
    </w:p>
    <w:p w14:paraId="66210D73" w14:textId="3B8C35AE" w:rsidR="00411287" w:rsidRPr="00B847A2" w:rsidRDefault="00411287" w:rsidP="00411287">
      <w:pPr>
        <w:rPr>
          <w:rFonts w:ascii="Tahoma" w:hAnsi="Tahoma" w:cs="Tahoma"/>
          <w:bCs/>
          <w:sz w:val="22"/>
          <w:szCs w:val="22"/>
        </w:rPr>
      </w:pPr>
      <w:r w:rsidRPr="00B847A2">
        <w:rPr>
          <w:rFonts w:ascii="Tahoma" w:hAnsi="Tahoma" w:cs="Tahoma"/>
          <w:bCs/>
          <w:sz w:val="22"/>
          <w:szCs w:val="22"/>
        </w:rPr>
        <w:t>Answer:</w:t>
      </w:r>
    </w:p>
    <w:p w14:paraId="4D23C1BB" w14:textId="26D65071" w:rsidR="00411287" w:rsidRPr="00B847A2" w:rsidRDefault="00411287" w:rsidP="00411287">
      <w:pPr>
        <w:ind w:firstLine="720"/>
        <w:rPr>
          <w:rFonts w:ascii="Tahoma" w:hAnsi="Tahoma" w:cs="Tahoma"/>
          <w:color w:val="000000"/>
          <w:sz w:val="22"/>
          <w:szCs w:val="22"/>
          <w:shd w:val="clear" w:color="auto" w:fill="FFFFFF"/>
        </w:rPr>
      </w:pPr>
      <w:r w:rsidRPr="00B847A2">
        <w:rPr>
          <w:rFonts w:ascii="Tahoma" w:hAnsi="Tahoma" w:cs="Tahoma"/>
          <w:color w:val="000000"/>
          <w:sz w:val="22"/>
          <w:szCs w:val="22"/>
          <w:shd w:val="clear" w:color="auto" w:fill="FFFFFF"/>
        </w:rPr>
        <w:t xml:space="preserve">a.) No.  </w:t>
      </w:r>
    </w:p>
    <w:p w14:paraId="6FCC0C6E" w14:textId="77777777" w:rsidR="00411287" w:rsidRPr="00B847A2" w:rsidRDefault="00411287" w:rsidP="00411287">
      <w:pPr>
        <w:pStyle w:val="ListParagraph"/>
        <w:numPr>
          <w:ilvl w:val="0"/>
          <w:numId w:val="9"/>
        </w:numPr>
        <w:ind w:left="1080"/>
        <w:rPr>
          <w:rFonts w:ascii="Tahoma" w:eastAsia="Times New Roman" w:hAnsi="Tahoma" w:cs="Tahoma"/>
          <w:color w:val="000000"/>
          <w:shd w:val="clear" w:color="auto" w:fill="FFFFFF"/>
        </w:rPr>
      </w:pPr>
      <w:r w:rsidRPr="00B847A2">
        <w:rPr>
          <w:rFonts w:ascii="Tahoma" w:eastAsia="Times New Roman" w:hAnsi="Tahoma" w:cs="Tahoma"/>
          <w:color w:val="000000"/>
          <w:shd w:val="clear" w:color="auto" w:fill="FFFFFF"/>
        </w:rPr>
        <w:t xml:space="preserve">Timing of the single audit results usually occurs in March.  </w:t>
      </w:r>
    </w:p>
    <w:p w14:paraId="0205CE94" w14:textId="77777777" w:rsidR="00411287" w:rsidRPr="00B847A2" w:rsidRDefault="00411287" w:rsidP="00411287">
      <w:pPr>
        <w:pStyle w:val="ListParagraph"/>
        <w:numPr>
          <w:ilvl w:val="0"/>
          <w:numId w:val="9"/>
        </w:numPr>
        <w:ind w:left="1080"/>
        <w:rPr>
          <w:rFonts w:ascii="Tahoma" w:eastAsia="Times New Roman" w:hAnsi="Tahoma" w:cs="Tahoma"/>
          <w:color w:val="000000"/>
          <w:shd w:val="clear" w:color="auto" w:fill="FFFFFF"/>
        </w:rPr>
      </w:pPr>
      <w:proofErr w:type="gramStart"/>
      <w:r w:rsidRPr="00B847A2">
        <w:rPr>
          <w:rFonts w:ascii="Tahoma" w:eastAsia="Times New Roman" w:hAnsi="Tahoma" w:cs="Tahoma"/>
          <w:color w:val="000000"/>
          <w:shd w:val="clear" w:color="auto" w:fill="FFFFFF"/>
        </w:rPr>
        <w:t>Typically</w:t>
      </w:r>
      <w:proofErr w:type="gramEnd"/>
      <w:r w:rsidRPr="00B847A2">
        <w:rPr>
          <w:rFonts w:ascii="Tahoma" w:eastAsia="Times New Roman" w:hAnsi="Tahoma" w:cs="Tahoma"/>
          <w:color w:val="000000"/>
          <w:shd w:val="clear" w:color="auto" w:fill="FFFFFF"/>
        </w:rPr>
        <w:t xml:space="preserve"> not, due to timing because both audit entities are auditing the same fiscal year at the same time.</w:t>
      </w:r>
    </w:p>
    <w:p w14:paraId="0CF422F7" w14:textId="77777777" w:rsidR="00411287" w:rsidRPr="00B847A2" w:rsidRDefault="00411287" w:rsidP="00411287">
      <w:pPr>
        <w:rPr>
          <w:rFonts w:ascii="Tahoma" w:hAnsi="Tahoma" w:cs="Tahoma"/>
          <w:bCs/>
          <w:sz w:val="22"/>
          <w:szCs w:val="22"/>
        </w:rPr>
      </w:pPr>
    </w:p>
    <w:p w14:paraId="1C773954" w14:textId="3726DB4D" w:rsidR="00B052A5" w:rsidRPr="00B847A2" w:rsidRDefault="00B052A5" w:rsidP="00B052A5">
      <w:pPr>
        <w:rPr>
          <w:rFonts w:ascii="Tahoma" w:hAnsi="Tahoma" w:cs="Tahoma"/>
          <w:bCs/>
          <w:sz w:val="22"/>
          <w:szCs w:val="22"/>
        </w:rPr>
      </w:pPr>
      <w:r w:rsidRPr="00B847A2">
        <w:rPr>
          <w:rFonts w:ascii="Tahoma" w:hAnsi="Tahoma" w:cs="Tahoma"/>
          <w:b/>
          <w:bCs/>
          <w:sz w:val="22"/>
          <w:szCs w:val="22"/>
        </w:rPr>
        <w:t>Question 10</w:t>
      </w:r>
      <w:r w:rsidRPr="00B847A2">
        <w:rPr>
          <w:rFonts w:ascii="Tahoma" w:hAnsi="Tahoma" w:cs="Tahoma"/>
          <w:bCs/>
          <w:sz w:val="22"/>
          <w:szCs w:val="22"/>
        </w:rPr>
        <w:t>:</w:t>
      </w:r>
    </w:p>
    <w:p w14:paraId="422F8C88" w14:textId="77777777" w:rsidR="00B052A5" w:rsidRPr="00B847A2" w:rsidRDefault="00B052A5" w:rsidP="00B052A5">
      <w:pPr>
        <w:rPr>
          <w:rFonts w:ascii="Tahoma" w:hAnsi="Tahoma" w:cs="Tahoma"/>
          <w:color w:val="333333"/>
          <w:sz w:val="22"/>
          <w:szCs w:val="22"/>
        </w:rPr>
      </w:pPr>
      <w:r w:rsidRPr="00B847A2">
        <w:rPr>
          <w:rFonts w:ascii="Tahoma" w:hAnsi="Tahoma" w:cs="Tahoma"/>
          <w:color w:val="333333"/>
          <w:sz w:val="22"/>
          <w:szCs w:val="22"/>
        </w:rPr>
        <w:t>Can you release the prior year (2019) single audit findings if there were any?</w:t>
      </w:r>
    </w:p>
    <w:p w14:paraId="3DD8F2B6" w14:textId="7F2BE75F" w:rsidR="00B052A5" w:rsidRPr="00B847A2" w:rsidRDefault="00B052A5" w:rsidP="00B052A5">
      <w:pPr>
        <w:rPr>
          <w:rFonts w:ascii="Tahoma" w:hAnsi="Tahoma" w:cs="Tahoma"/>
          <w:sz w:val="22"/>
          <w:szCs w:val="22"/>
        </w:rPr>
      </w:pPr>
      <w:r w:rsidRPr="00B847A2">
        <w:rPr>
          <w:rFonts w:ascii="Tahoma" w:hAnsi="Tahoma" w:cs="Tahoma"/>
          <w:b/>
          <w:bCs/>
          <w:color w:val="000000"/>
          <w:sz w:val="22"/>
          <w:szCs w:val="22"/>
          <w:shd w:val="clear" w:color="auto" w:fill="FFFFFF"/>
        </w:rPr>
        <w:t>Response:</w:t>
      </w:r>
      <w:r w:rsidRPr="00B847A2">
        <w:rPr>
          <w:rFonts w:ascii="Tahoma" w:hAnsi="Tahoma" w:cs="Tahoma"/>
          <w:color w:val="000000"/>
          <w:sz w:val="22"/>
          <w:szCs w:val="22"/>
          <w:shd w:val="clear" w:color="auto" w:fill="FFFFFF"/>
        </w:rPr>
        <w:t xml:space="preserve"> The Comptroller of Public Accounts and the State Auditor’s Office have completed the statewide single audit reporting package for the state of Texas for fiscal 2019 and submitted the required materials to the Federal Audit Clearinghouse as required by </w:t>
      </w:r>
      <w:hyperlink r:id="rId14" w:tgtFrame="_blank" w:history="1">
        <w:r w:rsidRPr="00B847A2">
          <w:rPr>
            <w:rStyle w:val="Hyperlink"/>
            <w:rFonts w:ascii="Tahoma" w:hAnsi="Tahoma" w:cs="Tahoma"/>
            <w:color w:val="000000"/>
            <w:sz w:val="22"/>
            <w:szCs w:val="22"/>
            <w:shd w:val="clear" w:color="auto" w:fill="FFFFFF"/>
          </w:rPr>
          <w:t xml:space="preserve">2 CFR, Part 200, Subpart F </w:t>
        </w:r>
        <w:r w:rsidRPr="00B847A2">
          <w:rPr>
            <w:rStyle w:val="Hyperlink"/>
            <w:rFonts w:ascii="Tahoma" w:hAnsi="Tahoma" w:cs="Tahoma"/>
            <w:color w:val="000000"/>
            <w:sz w:val="22"/>
            <w:szCs w:val="22"/>
            <w:shd w:val="clear" w:color="auto" w:fill="FFFFFF"/>
          </w:rPr>
          <w:lastRenderedPageBreak/>
          <w:t>(Uniform Guidance)</w:t>
        </w:r>
      </w:hyperlink>
      <w:r w:rsidRPr="00B847A2">
        <w:rPr>
          <w:rFonts w:ascii="Tahoma" w:hAnsi="Tahoma" w:cs="Tahoma"/>
          <w:color w:val="000000"/>
          <w:sz w:val="22"/>
          <w:szCs w:val="22"/>
          <w:shd w:val="clear" w:color="auto" w:fill="FFFFFF"/>
        </w:rPr>
        <w:t xml:space="preserve">. All state agencies and institutions of higher education are included in the statewide single audit performed by the Texas State Auditor’s Office/CliftonLarsonAllen LLP.   </w:t>
      </w:r>
      <w:hyperlink r:id="rId15" w:history="1">
        <w:r w:rsidRPr="00B847A2">
          <w:rPr>
            <w:rStyle w:val="Hyperlink"/>
            <w:rFonts w:ascii="Tahoma" w:hAnsi="Tahoma" w:cs="Tahoma"/>
            <w:sz w:val="22"/>
            <w:szCs w:val="22"/>
          </w:rPr>
          <w:t>https://fmx.cpa.texas.gov/fmx/finrpt/singleaudit/index.php</w:t>
        </w:r>
      </w:hyperlink>
    </w:p>
    <w:p w14:paraId="52581295" w14:textId="17CDCDB3" w:rsidR="00E85748" w:rsidRPr="00B847A2" w:rsidRDefault="00E85748" w:rsidP="00B052A5">
      <w:pPr>
        <w:rPr>
          <w:rFonts w:ascii="Tahoma" w:hAnsi="Tahoma" w:cs="Tahoma"/>
          <w:sz w:val="22"/>
          <w:szCs w:val="22"/>
        </w:rPr>
      </w:pPr>
    </w:p>
    <w:p w14:paraId="6CF80AE2" w14:textId="11804154" w:rsidR="00E85748" w:rsidRPr="00B847A2" w:rsidRDefault="00E85748" w:rsidP="00E85748">
      <w:pPr>
        <w:rPr>
          <w:rFonts w:ascii="Tahoma" w:hAnsi="Tahoma" w:cs="Tahoma"/>
          <w:bCs/>
          <w:sz w:val="22"/>
          <w:szCs w:val="22"/>
        </w:rPr>
      </w:pPr>
      <w:bookmarkStart w:id="1" w:name="_Hlk47626545"/>
      <w:r w:rsidRPr="00B847A2">
        <w:rPr>
          <w:rFonts w:ascii="Tahoma" w:hAnsi="Tahoma" w:cs="Tahoma"/>
          <w:b/>
          <w:bCs/>
          <w:sz w:val="22"/>
          <w:szCs w:val="22"/>
        </w:rPr>
        <w:t>Question 11</w:t>
      </w:r>
      <w:r w:rsidRPr="00B847A2">
        <w:rPr>
          <w:rFonts w:ascii="Tahoma" w:hAnsi="Tahoma" w:cs="Tahoma"/>
          <w:bCs/>
          <w:sz w:val="22"/>
          <w:szCs w:val="22"/>
        </w:rPr>
        <w:t>:</w:t>
      </w:r>
    </w:p>
    <w:p w14:paraId="52230BCF" w14:textId="77777777" w:rsidR="00E85748" w:rsidRPr="00B847A2" w:rsidRDefault="00E85748" w:rsidP="00E85748">
      <w:pPr>
        <w:rPr>
          <w:rFonts w:ascii="Tahoma" w:hAnsi="Tahoma" w:cs="Tahoma"/>
          <w:color w:val="1F497D"/>
          <w:sz w:val="22"/>
          <w:szCs w:val="22"/>
        </w:rPr>
      </w:pPr>
      <w:r w:rsidRPr="00B847A2">
        <w:rPr>
          <w:rFonts w:ascii="Tahoma" w:hAnsi="Tahoma" w:cs="Tahoma"/>
          <w:color w:val="000000"/>
          <w:sz w:val="22"/>
          <w:szCs w:val="22"/>
          <w:shd w:val="clear" w:color="auto" w:fill="FFFFFF"/>
        </w:rPr>
        <w:t>How much weight in scoring or preference will be given to using a HUB subcontractor?</w:t>
      </w:r>
    </w:p>
    <w:p w14:paraId="7B50BBF8" w14:textId="77777777" w:rsidR="00E603D7" w:rsidRDefault="00E85748" w:rsidP="00E603D7">
      <w:pPr>
        <w:rPr>
          <w:rFonts w:ascii="Tahoma" w:hAnsi="Tahoma" w:cs="Tahoma"/>
          <w:b/>
          <w:bCs/>
          <w:color w:val="000000"/>
          <w:sz w:val="22"/>
          <w:szCs w:val="22"/>
          <w:shd w:val="clear" w:color="auto" w:fill="FFFFFF"/>
        </w:rPr>
      </w:pPr>
      <w:r w:rsidRPr="00B847A2">
        <w:rPr>
          <w:rFonts w:ascii="Tahoma" w:hAnsi="Tahoma" w:cs="Tahoma"/>
          <w:b/>
          <w:bCs/>
          <w:color w:val="000000"/>
          <w:sz w:val="22"/>
          <w:szCs w:val="22"/>
          <w:shd w:val="clear" w:color="auto" w:fill="FFFFFF"/>
        </w:rPr>
        <w:t xml:space="preserve">Response: </w:t>
      </w:r>
      <w:bookmarkStart w:id="2" w:name="_Toc46397132"/>
    </w:p>
    <w:p w14:paraId="7B5B7B9A" w14:textId="557EC4CC" w:rsidR="00E603D7" w:rsidRDefault="00E603D7" w:rsidP="00E603D7">
      <w:pPr>
        <w:rPr>
          <w:rFonts w:ascii="Tahoma" w:hAnsi="Tahoma" w:cs="Tahoma"/>
          <w:color w:val="000000"/>
          <w:sz w:val="22"/>
          <w:szCs w:val="22"/>
          <w:shd w:val="clear" w:color="auto" w:fill="FFFFFF"/>
        </w:rPr>
      </w:pPr>
      <w:r w:rsidRPr="00E603D7">
        <w:rPr>
          <w:rFonts w:ascii="Tahoma" w:hAnsi="Tahoma" w:cs="Tahoma"/>
          <w:color w:val="000000"/>
          <w:sz w:val="22"/>
          <w:szCs w:val="22"/>
          <w:shd w:val="clear" w:color="auto" w:fill="FFFFFF"/>
        </w:rPr>
        <w:t>Evaluation Criteria for each of the Proposal Components:</w:t>
      </w:r>
      <w:bookmarkEnd w:id="2"/>
    </w:p>
    <w:tbl>
      <w:tblPr>
        <w:tblStyle w:val="TableGrid"/>
        <w:tblW w:w="0" w:type="auto"/>
        <w:tblLook w:val="04A0" w:firstRow="1" w:lastRow="0" w:firstColumn="1" w:lastColumn="0" w:noHBand="0" w:noVBand="1"/>
      </w:tblPr>
      <w:tblGrid>
        <w:gridCol w:w="4810"/>
        <w:gridCol w:w="1125"/>
      </w:tblGrid>
      <w:tr w:rsidR="00E603D7" w14:paraId="675A0373" w14:textId="77777777" w:rsidTr="00E603D7">
        <w:tc>
          <w:tcPr>
            <w:tcW w:w="4810" w:type="dxa"/>
          </w:tcPr>
          <w:p w14:paraId="5BD13279" w14:textId="4B629FC9" w:rsidR="00E603D7" w:rsidRDefault="00E603D7" w:rsidP="00E603D7">
            <w:pPr>
              <w:rPr>
                <w:rFonts w:ascii="Tahoma" w:hAnsi="Tahoma" w:cs="Tahoma"/>
                <w:color w:val="000000"/>
                <w:shd w:val="clear" w:color="auto" w:fill="FFFFFF"/>
              </w:rPr>
            </w:pPr>
            <w:r w:rsidRPr="00E603D7">
              <w:rPr>
                <w:rFonts w:ascii="Tahoma" w:hAnsi="Tahoma" w:cs="Tahoma"/>
                <w:color w:val="000000"/>
                <w:shd w:val="clear" w:color="auto" w:fill="FFFFFF"/>
              </w:rPr>
              <w:t>Technical Component</w:t>
            </w:r>
          </w:p>
        </w:tc>
        <w:tc>
          <w:tcPr>
            <w:tcW w:w="1125" w:type="dxa"/>
          </w:tcPr>
          <w:p w14:paraId="038A2FD7" w14:textId="282B89F8" w:rsidR="00E603D7" w:rsidRPr="00E603D7" w:rsidRDefault="00E603D7" w:rsidP="00E603D7">
            <w:r w:rsidRPr="00E603D7">
              <w:rPr>
                <w:rFonts w:ascii="Tahoma" w:hAnsi="Tahoma" w:cs="Tahoma"/>
                <w:color w:val="000000"/>
                <w:shd w:val="clear" w:color="auto" w:fill="FFFFFF"/>
              </w:rPr>
              <w:t>40%</w:t>
            </w:r>
          </w:p>
        </w:tc>
      </w:tr>
      <w:tr w:rsidR="00E603D7" w14:paraId="5102F9B1" w14:textId="77777777" w:rsidTr="00E603D7">
        <w:tc>
          <w:tcPr>
            <w:tcW w:w="4810" w:type="dxa"/>
            <w:tcBorders>
              <w:bottom w:val="single" w:sz="4" w:space="0" w:color="auto"/>
            </w:tcBorders>
          </w:tcPr>
          <w:p w14:paraId="03434366" w14:textId="7B5ABD1A" w:rsidR="00E603D7" w:rsidRDefault="00E603D7" w:rsidP="00E603D7">
            <w:pPr>
              <w:rPr>
                <w:rFonts w:ascii="Tahoma" w:hAnsi="Tahoma" w:cs="Tahoma"/>
                <w:color w:val="000000"/>
                <w:shd w:val="clear" w:color="auto" w:fill="FFFFFF"/>
              </w:rPr>
            </w:pPr>
            <w:r w:rsidRPr="00E603D7">
              <w:rPr>
                <w:rFonts w:ascii="Tahoma" w:hAnsi="Tahoma" w:cs="Tahoma"/>
                <w:color w:val="000000"/>
                <w:shd w:val="clear" w:color="auto" w:fill="FFFFFF"/>
              </w:rPr>
              <w:t>Management Component</w:t>
            </w:r>
          </w:p>
        </w:tc>
        <w:tc>
          <w:tcPr>
            <w:tcW w:w="1125" w:type="dxa"/>
            <w:tcBorders>
              <w:bottom w:val="single" w:sz="4" w:space="0" w:color="auto"/>
            </w:tcBorders>
          </w:tcPr>
          <w:p w14:paraId="467D53C1" w14:textId="2958C111" w:rsidR="00E603D7" w:rsidRDefault="00E603D7" w:rsidP="00E603D7">
            <w:pPr>
              <w:rPr>
                <w:rFonts w:ascii="Tahoma" w:hAnsi="Tahoma" w:cs="Tahoma"/>
                <w:color w:val="000000"/>
                <w:shd w:val="clear" w:color="auto" w:fill="FFFFFF"/>
              </w:rPr>
            </w:pPr>
            <w:r w:rsidRPr="00E603D7">
              <w:rPr>
                <w:rFonts w:ascii="Tahoma" w:hAnsi="Tahoma" w:cs="Tahoma"/>
                <w:color w:val="000000"/>
                <w:shd w:val="clear" w:color="auto" w:fill="FFFFFF"/>
              </w:rPr>
              <w:t>30%</w:t>
            </w:r>
          </w:p>
        </w:tc>
      </w:tr>
      <w:tr w:rsidR="00E603D7" w14:paraId="6094BB6B" w14:textId="77777777" w:rsidTr="00E603D7">
        <w:tc>
          <w:tcPr>
            <w:tcW w:w="4810" w:type="dxa"/>
            <w:tcBorders>
              <w:bottom w:val="double" w:sz="4" w:space="0" w:color="auto"/>
            </w:tcBorders>
          </w:tcPr>
          <w:p w14:paraId="7A31DF54" w14:textId="60CAEE24" w:rsidR="00E603D7" w:rsidRDefault="00E603D7" w:rsidP="00E603D7">
            <w:pPr>
              <w:rPr>
                <w:rFonts w:ascii="Tahoma" w:hAnsi="Tahoma" w:cs="Tahoma"/>
                <w:color w:val="000000"/>
                <w:shd w:val="clear" w:color="auto" w:fill="FFFFFF"/>
              </w:rPr>
            </w:pPr>
            <w:r w:rsidRPr="00E603D7">
              <w:rPr>
                <w:rFonts w:ascii="Tahoma" w:hAnsi="Tahoma" w:cs="Tahoma"/>
                <w:color w:val="000000"/>
                <w:shd w:val="clear" w:color="auto" w:fill="FFFFFF"/>
              </w:rPr>
              <w:t>Qualifications</w:t>
            </w:r>
          </w:p>
        </w:tc>
        <w:tc>
          <w:tcPr>
            <w:tcW w:w="1125" w:type="dxa"/>
            <w:tcBorders>
              <w:bottom w:val="double" w:sz="4" w:space="0" w:color="auto"/>
            </w:tcBorders>
          </w:tcPr>
          <w:p w14:paraId="66518629" w14:textId="4CF37813" w:rsidR="00E603D7" w:rsidRDefault="00E603D7" w:rsidP="00E603D7">
            <w:pPr>
              <w:rPr>
                <w:rFonts w:ascii="Tahoma" w:hAnsi="Tahoma" w:cs="Tahoma"/>
                <w:color w:val="000000"/>
                <w:shd w:val="clear" w:color="auto" w:fill="FFFFFF"/>
              </w:rPr>
            </w:pPr>
            <w:r w:rsidRPr="00E603D7">
              <w:rPr>
                <w:rFonts w:ascii="Tahoma" w:hAnsi="Tahoma" w:cs="Tahoma"/>
                <w:color w:val="000000"/>
                <w:shd w:val="clear" w:color="auto" w:fill="FFFFFF"/>
              </w:rPr>
              <w:t>30%</w:t>
            </w:r>
          </w:p>
        </w:tc>
      </w:tr>
      <w:tr w:rsidR="00E603D7" w14:paraId="6A96F0DA" w14:textId="77777777" w:rsidTr="00E603D7">
        <w:tc>
          <w:tcPr>
            <w:tcW w:w="4810" w:type="dxa"/>
            <w:tcBorders>
              <w:top w:val="double" w:sz="4" w:space="0" w:color="auto"/>
            </w:tcBorders>
          </w:tcPr>
          <w:p w14:paraId="71364896" w14:textId="34B55A8E" w:rsidR="00E603D7" w:rsidRPr="00E603D7" w:rsidRDefault="00E603D7" w:rsidP="00E603D7">
            <w:pPr>
              <w:rPr>
                <w:rFonts w:ascii="Tahoma" w:hAnsi="Tahoma" w:cs="Tahoma"/>
                <w:color w:val="000000"/>
                <w:shd w:val="clear" w:color="auto" w:fill="FFFFFF"/>
              </w:rPr>
            </w:pPr>
            <w:r>
              <w:rPr>
                <w:rFonts w:ascii="Tahoma" w:hAnsi="Tahoma" w:cs="Tahoma"/>
                <w:color w:val="000000"/>
                <w:shd w:val="clear" w:color="auto" w:fill="FFFFFF"/>
              </w:rPr>
              <w:t>Total</w:t>
            </w:r>
          </w:p>
        </w:tc>
        <w:tc>
          <w:tcPr>
            <w:tcW w:w="1125" w:type="dxa"/>
            <w:tcBorders>
              <w:top w:val="double" w:sz="4" w:space="0" w:color="auto"/>
            </w:tcBorders>
          </w:tcPr>
          <w:p w14:paraId="4A8BA71D" w14:textId="7DD8F261" w:rsidR="00E603D7" w:rsidRPr="00E603D7" w:rsidRDefault="00E603D7" w:rsidP="00E603D7">
            <w:pPr>
              <w:rPr>
                <w:rFonts w:ascii="Tahoma" w:hAnsi="Tahoma" w:cs="Tahoma"/>
                <w:color w:val="000000"/>
                <w:shd w:val="clear" w:color="auto" w:fill="FFFFFF"/>
              </w:rPr>
            </w:pPr>
            <w:r>
              <w:rPr>
                <w:rFonts w:ascii="Tahoma" w:hAnsi="Tahoma" w:cs="Tahoma"/>
                <w:color w:val="000000"/>
                <w:shd w:val="clear" w:color="auto" w:fill="FFFFFF"/>
              </w:rPr>
              <w:t>100%</w:t>
            </w:r>
          </w:p>
        </w:tc>
      </w:tr>
      <w:bookmarkEnd w:id="1"/>
    </w:tbl>
    <w:p w14:paraId="1F611DE2" w14:textId="22369371" w:rsidR="000F61B4" w:rsidRDefault="000F61B4">
      <w:pPr>
        <w:pStyle w:val="Title"/>
        <w:rPr>
          <w:b/>
          <w:bCs/>
        </w:rPr>
      </w:pPr>
    </w:p>
    <w:p w14:paraId="30066992" w14:textId="617AA002" w:rsidR="00FC30B8" w:rsidRPr="00B847A2" w:rsidRDefault="00FC30B8" w:rsidP="00FC30B8">
      <w:pPr>
        <w:rPr>
          <w:rFonts w:ascii="Tahoma" w:hAnsi="Tahoma" w:cs="Tahoma"/>
          <w:bCs/>
          <w:sz w:val="22"/>
          <w:szCs w:val="22"/>
        </w:rPr>
      </w:pPr>
      <w:r w:rsidRPr="00B847A2">
        <w:rPr>
          <w:rFonts w:ascii="Tahoma" w:hAnsi="Tahoma" w:cs="Tahoma"/>
          <w:b/>
          <w:bCs/>
          <w:sz w:val="22"/>
          <w:szCs w:val="22"/>
        </w:rPr>
        <w:t>Question 1</w:t>
      </w:r>
      <w:r>
        <w:rPr>
          <w:rFonts w:ascii="Tahoma" w:hAnsi="Tahoma" w:cs="Tahoma"/>
          <w:b/>
          <w:bCs/>
          <w:sz w:val="22"/>
          <w:szCs w:val="22"/>
        </w:rPr>
        <w:t>2</w:t>
      </w:r>
      <w:r w:rsidRPr="00B847A2">
        <w:rPr>
          <w:rFonts w:ascii="Tahoma" w:hAnsi="Tahoma" w:cs="Tahoma"/>
          <w:bCs/>
          <w:sz w:val="22"/>
          <w:szCs w:val="22"/>
        </w:rPr>
        <w:t>:</w:t>
      </w:r>
    </w:p>
    <w:p w14:paraId="67E924AF" w14:textId="77777777" w:rsidR="00FC30B8" w:rsidRPr="00FC30B8" w:rsidRDefault="00FC30B8" w:rsidP="00FC30B8">
      <w:pPr>
        <w:spacing w:before="100" w:beforeAutospacing="1" w:after="100" w:afterAutospacing="1"/>
        <w:rPr>
          <w:rFonts w:ascii="Tahoma" w:hAnsi="Tahoma" w:cs="Tahoma"/>
          <w:color w:val="000000"/>
          <w:sz w:val="22"/>
          <w:szCs w:val="22"/>
          <w:shd w:val="clear" w:color="auto" w:fill="FFFFFF"/>
        </w:rPr>
      </w:pPr>
      <w:r w:rsidRPr="00FC30B8">
        <w:rPr>
          <w:rFonts w:ascii="Tahoma" w:hAnsi="Tahoma" w:cs="Tahoma"/>
          <w:color w:val="000000"/>
          <w:sz w:val="22"/>
          <w:szCs w:val="22"/>
          <w:shd w:val="clear" w:color="auto" w:fill="FFFFFF"/>
        </w:rPr>
        <w:t xml:space="preserve">Attachment A has a section E which is entitled “Exceptions to T&amp;C”.  </w:t>
      </w:r>
      <w:proofErr w:type="gramStart"/>
      <w:r w:rsidRPr="00FC30B8">
        <w:rPr>
          <w:rFonts w:ascii="Tahoma" w:hAnsi="Tahoma" w:cs="Tahoma"/>
          <w:color w:val="000000"/>
          <w:sz w:val="22"/>
          <w:szCs w:val="22"/>
          <w:shd w:val="clear" w:color="auto" w:fill="FFFFFF"/>
        </w:rPr>
        <w:t>However</w:t>
      </w:r>
      <w:proofErr w:type="gramEnd"/>
      <w:r w:rsidRPr="00FC30B8">
        <w:rPr>
          <w:rFonts w:ascii="Tahoma" w:hAnsi="Tahoma" w:cs="Tahoma"/>
          <w:color w:val="000000"/>
          <w:sz w:val="22"/>
          <w:szCs w:val="22"/>
          <w:shd w:val="clear" w:color="auto" w:fill="FFFFFF"/>
        </w:rPr>
        <w:t xml:space="preserve"> page 10 of the RFQ under #3 of the second PDF section notes that exceptions should be included in the transmittal letter. Should we refer out the Attachment A section </w:t>
      </w:r>
      <w:proofErr w:type="gramStart"/>
      <w:r w:rsidRPr="00FC30B8">
        <w:rPr>
          <w:rFonts w:ascii="Tahoma" w:hAnsi="Tahoma" w:cs="Tahoma"/>
          <w:color w:val="000000"/>
          <w:sz w:val="22"/>
          <w:szCs w:val="22"/>
          <w:shd w:val="clear" w:color="auto" w:fill="FFFFFF"/>
        </w:rPr>
        <w:t>to  the</w:t>
      </w:r>
      <w:proofErr w:type="gramEnd"/>
      <w:r w:rsidRPr="00FC30B8">
        <w:rPr>
          <w:rFonts w:ascii="Tahoma" w:hAnsi="Tahoma" w:cs="Tahoma"/>
          <w:color w:val="000000"/>
          <w:sz w:val="22"/>
          <w:szCs w:val="22"/>
          <w:shd w:val="clear" w:color="auto" w:fill="FFFFFF"/>
        </w:rPr>
        <w:t xml:space="preserve"> transmittal letter?</w:t>
      </w:r>
    </w:p>
    <w:p w14:paraId="22C30E40" w14:textId="7C8AC1B2" w:rsidR="00FC30B8" w:rsidRDefault="00FC30B8" w:rsidP="00FC30B8">
      <w:pPr>
        <w:spacing w:before="100" w:beforeAutospacing="1" w:after="100" w:afterAutospacing="1"/>
        <w:rPr>
          <w:rFonts w:ascii="Tahoma" w:hAnsi="Tahoma" w:cs="Tahoma"/>
          <w:color w:val="000000"/>
          <w:sz w:val="22"/>
          <w:szCs w:val="22"/>
          <w:shd w:val="clear" w:color="auto" w:fill="FFFFFF"/>
        </w:rPr>
      </w:pPr>
      <w:r w:rsidRPr="00FC30B8">
        <w:rPr>
          <w:rFonts w:ascii="Tahoma" w:hAnsi="Tahoma" w:cs="Tahoma"/>
          <w:color w:val="000000"/>
          <w:sz w:val="22"/>
          <w:szCs w:val="22"/>
          <w:shd w:val="clear" w:color="auto" w:fill="FFFFFF"/>
        </w:rPr>
        <w:t xml:space="preserve">Page 10 of the PRQ under #3 of the second PDF section notes “Any exceptions to this RFQ and the THECB Vendor’s Addendum, or any of the items listed under A.3.2 contracting process must be specifically noted in the letter.”  Our question is what is the THECB Vendor Addendum and what is section A.3.2 please? </w:t>
      </w:r>
    </w:p>
    <w:p w14:paraId="7235B542" w14:textId="21AC809F" w:rsidR="00FC30B8" w:rsidRPr="00FC30B8" w:rsidRDefault="00FC30B8" w:rsidP="00FC30B8">
      <w:pPr>
        <w:spacing w:before="100" w:beforeAutospacing="1" w:after="100" w:afterAutospacing="1"/>
        <w:rPr>
          <w:rFonts w:ascii="Tahoma" w:hAnsi="Tahoma" w:cs="Tahoma"/>
          <w:color w:val="000000"/>
          <w:sz w:val="22"/>
          <w:szCs w:val="22"/>
          <w:shd w:val="clear" w:color="auto" w:fill="FFFFFF"/>
        </w:rPr>
      </w:pPr>
      <w:r w:rsidRPr="00F47D3C">
        <w:rPr>
          <w:rFonts w:ascii="Tahoma" w:hAnsi="Tahoma" w:cs="Tahoma"/>
          <w:b/>
          <w:bCs/>
          <w:sz w:val="22"/>
          <w:szCs w:val="22"/>
        </w:rPr>
        <w:t>Response:</w:t>
      </w:r>
      <w:r>
        <w:rPr>
          <w:rFonts w:ascii="Tahoma" w:hAnsi="Tahoma" w:cs="Tahoma"/>
          <w:color w:val="000000"/>
          <w:sz w:val="22"/>
          <w:szCs w:val="22"/>
          <w:shd w:val="clear" w:color="auto" w:fill="FFFFFF"/>
        </w:rPr>
        <w:t xml:space="preserve"> The THECB has posted an Addendum to the RFQ to address Question 12</w:t>
      </w:r>
    </w:p>
    <w:sectPr w:rsidR="00FC30B8" w:rsidRPr="00FC30B8" w:rsidSect="005F0C07">
      <w:footerReference w:type="default" r:id="rId16"/>
      <w:pgSz w:w="12240" w:h="15840"/>
      <w:pgMar w:top="990" w:right="1260" w:bottom="1440" w:left="1350" w:header="720" w:footer="72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EF645" w14:textId="77777777" w:rsidR="003567F2" w:rsidRDefault="003567F2" w:rsidP="0060606E">
      <w:r>
        <w:separator/>
      </w:r>
    </w:p>
  </w:endnote>
  <w:endnote w:type="continuationSeparator" w:id="0">
    <w:p w14:paraId="39FB703D" w14:textId="77777777" w:rsidR="003567F2" w:rsidRDefault="003567F2" w:rsidP="00606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ahoma" w:hAnsi="Tahoma" w:cs="Tahoma"/>
        <w:sz w:val="16"/>
        <w:szCs w:val="16"/>
      </w:rPr>
      <w:id w:val="-1888641957"/>
      <w:docPartObj>
        <w:docPartGallery w:val="Page Numbers (Bottom of Page)"/>
        <w:docPartUnique/>
      </w:docPartObj>
    </w:sdtPr>
    <w:sdtEndPr/>
    <w:sdtContent>
      <w:sdt>
        <w:sdtPr>
          <w:rPr>
            <w:rFonts w:ascii="Tahoma" w:hAnsi="Tahoma" w:cs="Tahoma"/>
            <w:sz w:val="16"/>
            <w:szCs w:val="16"/>
          </w:rPr>
          <w:id w:val="1728636285"/>
          <w:docPartObj>
            <w:docPartGallery w:val="Page Numbers (Top of Page)"/>
            <w:docPartUnique/>
          </w:docPartObj>
        </w:sdtPr>
        <w:sdtEndPr/>
        <w:sdtContent>
          <w:p w14:paraId="30EDF9A3" w14:textId="607B51A8" w:rsidR="00B847A2" w:rsidRPr="00B847A2" w:rsidRDefault="00B847A2">
            <w:pPr>
              <w:pStyle w:val="Footer"/>
              <w:jc w:val="center"/>
              <w:rPr>
                <w:rFonts w:ascii="Tahoma" w:hAnsi="Tahoma" w:cs="Tahoma"/>
                <w:sz w:val="16"/>
                <w:szCs w:val="16"/>
              </w:rPr>
            </w:pPr>
            <w:r w:rsidRPr="00B847A2">
              <w:rPr>
                <w:rFonts w:ascii="Tahoma" w:hAnsi="Tahoma" w:cs="Tahoma"/>
                <w:sz w:val="16"/>
                <w:szCs w:val="16"/>
              </w:rPr>
              <w:t xml:space="preserve">Page </w:t>
            </w:r>
            <w:r w:rsidRPr="00B847A2">
              <w:rPr>
                <w:rFonts w:ascii="Tahoma" w:hAnsi="Tahoma" w:cs="Tahoma"/>
                <w:b/>
                <w:bCs/>
                <w:sz w:val="16"/>
                <w:szCs w:val="16"/>
              </w:rPr>
              <w:fldChar w:fldCharType="begin"/>
            </w:r>
            <w:r w:rsidRPr="00B847A2">
              <w:rPr>
                <w:rFonts w:ascii="Tahoma" w:hAnsi="Tahoma" w:cs="Tahoma"/>
                <w:b/>
                <w:bCs/>
                <w:sz w:val="16"/>
                <w:szCs w:val="16"/>
              </w:rPr>
              <w:instrText xml:space="preserve"> PAGE </w:instrText>
            </w:r>
            <w:r w:rsidRPr="00B847A2">
              <w:rPr>
                <w:rFonts w:ascii="Tahoma" w:hAnsi="Tahoma" w:cs="Tahoma"/>
                <w:b/>
                <w:bCs/>
                <w:sz w:val="16"/>
                <w:szCs w:val="16"/>
              </w:rPr>
              <w:fldChar w:fldCharType="separate"/>
            </w:r>
            <w:r w:rsidRPr="00B847A2">
              <w:rPr>
                <w:rFonts w:ascii="Tahoma" w:hAnsi="Tahoma" w:cs="Tahoma"/>
                <w:b/>
                <w:bCs/>
                <w:noProof/>
                <w:sz w:val="16"/>
                <w:szCs w:val="16"/>
              </w:rPr>
              <w:t>2</w:t>
            </w:r>
            <w:r w:rsidRPr="00B847A2">
              <w:rPr>
                <w:rFonts w:ascii="Tahoma" w:hAnsi="Tahoma" w:cs="Tahoma"/>
                <w:b/>
                <w:bCs/>
                <w:sz w:val="16"/>
                <w:szCs w:val="16"/>
              </w:rPr>
              <w:fldChar w:fldCharType="end"/>
            </w:r>
            <w:r w:rsidRPr="00B847A2">
              <w:rPr>
                <w:rFonts w:ascii="Tahoma" w:hAnsi="Tahoma" w:cs="Tahoma"/>
                <w:sz w:val="16"/>
                <w:szCs w:val="16"/>
              </w:rPr>
              <w:t xml:space="preserve"> of </w:t>
            </w:r>
            <w:r w:rsidRPr="00B847A2">
              <w:rPr>
                <w:rFonts w:ascii="Tahoma" w:hAnsi="Tahoma" w:cs="Tahoma"/>
                <w:b/>
                <w:bCs/>
                <w:sz w:val="16"/>
                <w:szCs w:val="16"/>
              </w:rPr>
              <w:fldChar w:fldCharType="begin"/>
            </w:r>
            <w:r w:rsidRPr="00B847A2">
              <w:rPr>
                <w:rFonts w:ascii="Tahoma" w:hAnsi="Tahoma" w:cs="Tahoma"/>
                <w:b/>
                <w:bCs/>
                <w:sz w:val="16"/>
                <w:szCs w:val="16"/>
              </w:rPr>
              <w:instrText xml:space="preserve"> NUMPAGES  </w:instrText>
            </w:r>
            <w:r w:rsidRPr="00B847A2">
              <w:rPr>
                <w:rFonts w:ascii="Tahoma" w:hAnsi="Tahoma" w:cs="Tahoma"/>
                <w:b/>
                <w:bCs/>
                <w:sz w:val="16"/>
                <w:szCs w:val="16"/>
              </w:rPr>
              <w:fldChar w:fldCharType="separate"/>
            </w:r>
            <w:r w:rsidRPr="00B847A2">
              <w:rPr>
                <w:rFonts w:ascii="Tahoma" w:hAnsi="Tahoma" w:cs="Tahoma"/>
                <w:b/>
                <w:bCs/>
                <w:noProof/>
                <w:sz w:val="16"/>
                <w:szCs w:val="16"/>
              </w:rPr>
              <w:t>2</w:t>
            </w:r>
            <w:r w:rsidRPr="00B847A2">
              <w:rPr>
                <w:rFonts w:ascii="Tahoma" w:hAnsi="Tahoma" w:cs="Tahoma"/>
                <w:b/>
                <w:bCs/>
                <w:sz w:val="16"/>
                <w:szCs w:val="16"/>
              </w:rPr>
              <w:fldChar w:fldCharType="end"/>
            </w:r>
          </w:p>
        </w:sdtContent>
      </w:sdt>
    </w:sdtContent>
  </w:sdt>
  <w:p w14:paraId="18F2024E" w14:textId="7DF54A0E" w:rsidR="0060606E" w:rsidRPr="00B847A2" w:rsidRDefault="00B847A2" w:rsidP="0060606E">
    <w:pPr>
      <w:pStyle w:val="Footer"/>
      <w:ind w:right="-450"/>
      <w:jc w:val="right"/>
      <w:rPr>
        <w:rFonts w:ascii="Tahoma" w:hAnsi="Tahoma" w:cs="Tahoma"/>
        <w:sz w:val="18"/>
        <w:szCs w:val="18"/>
      </w:rPr>
    </w:pPr>
    <w:r w:rsidRPr="00B847A2">
      <w:rPr>
        <w:rFonts w:ascii="Tahoma" w:hAnsi="Tahoma" w:cs="Tahoma"/>
        <w:sz w:val="18"/>
        <w:szCs w:val="18"/>
      </w:rPr>
      <w:t>08/06/20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A0DA7" w14:textId="77777777" w:rsidR="003567F2" w:rsidRDefault="003567F2" w:rsidP="0060606E">
      <w:r>
        <w:separator/>
      </w:r>
    </w:p>
  </w:footnote>
  <w:footnote w:type="continuationSeparator" w:id="0">
    <w:p w14:paraId="0EC9CF77" w14:textId="77777777" w:rsidR="003567F2" w:rsidRDefault="003567F2" w:rsidP="00606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141FAA"/>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AC94498"/>
    <w:multiLevelType w:val="hybridMultilevel"/>
    <w:tmpl w:val="A81849F2"/>
    <w:lvl w:ilvl="0" w:tplc="54909F7A">
      <w:start w:val="2"/>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15:restartNumberingAfterBreak="0">
    <w:nsid w:val="20132811"/>
    <w:multiLevelType w:val="multilevel"/>
    <w:tmpl w:val="AFECA16C"/>
    <w:lvl w:ilvl="0">
      <w:start w:val="1"/>
      <w:numFmt w:val="decimal"/>
      <w:lvlText w:val="%1."/>
      <w:lvlJc w:val="left"/>
      <w:pPr>
        <w:ind w:left="471" w:hanging="360"/>
      </w:pPr>
      <w:rPr>
        <w:rFonts w:hint="default"/>
      </w:rPr>
    </w:lvl>
    <w:lvl w:ilvl="1">
      <w:start w:val="1"/>
      <w:numFmt w:val="decimal"/>
      <w:isLgl/>
      <w:lvlText w:val="%1.%2"/>
      <w:lvlJc w:val="left"/>
      <w:pPr>
        <w:ind w:left="810" w:hanging="720"/>
      </w:pPr>
      <w:rPr>
        <w:rFonts w:hint="default"/>
        <w:b/>
        <w:bCs w:val="0"/>
      </w:rPr>
    </w:lvl>
    <w:lvl w:ilvl="2">
      <w:start w:val="1"/>
      <w:numFmt w:val="decimal"/>
      <w:isLgl/>
      <w:lvlText w:val="%1.%2.%3"/>
      <w:lvlJc w:val="left"/>
      <w:pPr>
        <w:ind w:left="831" w:hanging="720"/>
      </w:pPr>
      <w:rPr>
        <w:rFonts w:hint="default"/>
      </w:rPr>
    </w:lvl>
    <w:lvl w:ilvl="3">
      <w:start w:val="1"/>
      <w:numFmt w:val="decimal"/>
      <w:isLgl/>
      <w:lvlText w:val="%1.%2.%3.%4"/>
      <w:lvlJc w:val="left"/>
      <w:pPr>
        <w:ind w:left="1191" w:hanging="1080"/>
      </w:pPr>
      <w:rPr>
        <w:rFonts w:hint="default"/>
      </w:rPr>
    </w:lvl>
    <w:lvl w:ilvl="4">
      <w:start w:val="1"/>
      <w:numFmt w:val="decimal"/>
      <w:isLgl/>
      <w:lvlText w:val="%1.%2.%3.%4.%5"/>
      <w:lvlJc w:val="left"/>
      <w:pPr>
        <w:ind w:left="1551" w:hanging="1440"/>
      </w:pPr>
      <w:rPr>
        <w:rFonts w:hint="default"/>
      </w:rPr>
    </w:lvl>
    <w:lvl w:ilvl="5">
      <w:start w:val="1"/>
      <w:numFmt w:val="decimal"/>
      <w:isLgl/>
      <w:lvlText w:val="%1.%2.%3.%4.%5.%6"/>
      <w:lvlJc w:val="left"/>
      <w:pPr>
        <w:ind w:left="1551" w:hanging="1440"/>
      </w:pPr>
      <w:rPr>
        <w:rFonts w:hint="default"/>
      </w:rPr>
    </w:lvl>
    <w:lvl w:ilvl="6">
      <w:start w:val="1"/>
      <w:numFmt w:val="decimal"/>
      <w:isLgl/>
      <w:lvlText w:val="%1.%2.%3.%4.%5.%6.%7"/>
      <w:lvlJc w:val="left"/>
      <w:pPr>
        <w:ind w:left="1911" w:hanging="1800"/>
      </w:pPr>
      <w:rPr>
        <w:rFonts w:hint="default"/>
      </w:rPr>
    </w:lvl>
    <w:lvl w:ilvl="7">
      <w:start w:val="1"/>
      <w:numFmt w:val="decimal"/>
      <w:isLgl/>
      <w:lvlText w:val="%1.%2.%3.%4.%5.%6.%7.%8"/>
      <w:lvlJc w:val="left"/>
      <w:pPr>
        <w:ind w:left="2271" w:hanging="2160"/>
      </w:pPr>
      <w:rPr>
        <w:rFonts w:hint="default"/>
      </w:rPr>
    </w:lvl>
    <w:lvl w:ilvl="8">
      <w:start w:val="1"/>
      <w:numFmt w:val="decimal"/>
      <w:isLgl/>
      <w:lvlText w:val="%1.%2.%3.%4.%5.%6.%7.%8.%9"/>
      <w:lvlJc w:val="left"/>
      <w:pPr>
        <w:ind w:left="2631" w:hanging="2520"/>
      </w:pPr>
      <w:rPr>
        <w:rFonts w:hint="default"/>
      </w:rPr>
    </w:lvl>
  </w:abstractNum>
  <w:abstractNum w:abstractNumId="3" w15:restartNumberingAfterBreak="0">
    <w:nsid w:val="29D93728"/>
    <w:multiLevelType w:val="multilevel"/>
    <w:tmpl w:val="64849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A604303"/>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A6B4D7F"/>
    <w:multiLevelType w:val="multilevel"/>
    <w:tmpl w:val="ABB24B34"/>
    <w:lvl w:ilvl="0">
      <w:start w:val="1"/>
      <w:numFmt w:val="decimal"/>
      <w:isLgl/>
      <w:lvlText w:val="%1"/>
      <w:lvlJc w:val="left"/>
      <w:pPr>
        <w:tabs>
          <w:tab w:val="num" w:pos="360"/>
        </w:tabs>
        <w:ind w:left="360" w:hanging="360"/>
      </w:pPr>
      <w:rPr>
        <w:rFonts w:ascii="Arial" w:hAnsi="Arial" w:hint="default"/>
        <w:b/>
        <w:i w:val="0"/>
        <w:sz w:val="22"/>
      </w:rPr>
    </w:lvl>
    <w:lvl w:ilvl="1">
      <w:start w:val="1"/>
      <w:numFmt w:val="decimal"/>
      <w:isLgl/>
      <w:lvlText w:val="%1.%2"/>
      <w:lvlJc w:val="left"/>
      <w:pPr>
        <w:tabs>
          <w:tab w:val="num" w:pos="1080"/>
        </w:tabs>
        <w:ind w:left="1080" w:hanging="720"/>
      </w:pPr>
      <w:rPr>
        <w:rFonts w:ascii="Arial" w:hAnsi="Arial" w:hint="default"/>
        <w:b/>
        <w:i w:val="0"/>
        <w:sz w:val="22"/>
      </w:rPr>
    </w:lvl>
    <w:lvl w:ilvl="2">
      <w:start w:val="1"/>
      <w:numFmt w:val="decimal"/>
      <w:pStyle w:val="Heading3"/>
      <w:isLgl/>
      <w:lvlText w:val="%1.%2.%3"/>
      <w:lvlJc w:val="left"/>
      <w:pPr>
        <w:tabs>
          <w:tab w:val="num" w:pos="1440"/>
        </w:tabs>
        <w:ind w:left="1440" w:hanging="720"/>
      </w:pPr>
      <w:rPr>
        <w:rFonts w:ascii="Arial" w:hAnsi="Arial" w:hint="default"/>
        <w:b/>
        <w:i w:val="0"/>
        <w:sz w:val="22"/>
      </w:rPr>
    </w:lvl>
    <w:lvl w:ilvl="3">
      <w:start w:val="1"/>
      <w:numFmt w:val="decimal"/>
      <w:pStyle w:val="Heading4"/>
      <w:isLgl/>
      <w:lvlText w:val="%1.%2.%3.%4"/>
      <w:lvlJc w:val="left"/>
      <w:pPr>
        <w:tabs>
          <w:tab w:val="num" w:pos="2160"/>
        </w:tabs>
        <w:ind w:left="2160" w:hanging="1080"/>
      </w:pPr>
      <w:rPr>
        <w:rFonts w:ascii="Arial" w:hAnsi="Arial" w:hint="default"/>
        <w:b/>
        <w:i w:val="0"/>
        <w:sz w:val="22"/>
      </w:rPr>
    </w:lvl>
    <w:lvl w:ilvl="4">
      <w:start w:val="1"/>
      <w:numFmt w:val="decimal"/>
      <w:isLgl/>
      <w:lvlText w:val="%1.%2.%3.%4.%5"/>
      <w:lvlJc w:val="left"/>
      <w:pPr>
        <w:tabs>
          <w:tab w:val="num" w:pos="2520"/>
        </w:tabs>
        <w:ind w:left="1728" w:hanging="288"/>
      </w:pPr>
      <w:rPr>
        <w:rFonts w:ascii="Arial" w:hAnsi="Arial" w:hint="default"/>
        <w:b/>
        <w:i w:val="0"/>
        <w:sz w:val="22"/>
      </w:rPr>
    </w:lvl>
    <w:lvl w:ilvl="5">
      <w:start w:val="1"/>
      <w:numFmt w:val="upperLetter"/>
      <w:lvlRestart w:val="1"/>
      <w:lvlText w:val="%6"/>
      <w:lvlJc w:val="left"/>
      <w:pPr>
        <w:tabs>
          <w:tab w:val="num" w:pos="360"/>
        </w:tabs>
        <w:ind w:left="360" w:hanging="360"/>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6" w15:restartNumberingAfterBreak="0">
    <w:nsid w:val="497B2AD7"/>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3131273"/>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50661D8"/>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6C39095E"/>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6C9429F4"/>
    <w:multiLevelType w:val="multilevel"/>
    <w:tmpl w:val="07E8BA2A"/>
    <w:lvl w:ilvl="0">
      <w:start w:val="1"/>
      <w:numFmt w:val="decimal"/>
      <w:lvlText w:val="%1."/>
      <w:lvlJc w:val="left"/>
      <w:pPr>
        <w:tabs>
          <w:tab w:val="num" w:pos="720"/>
        </w:tabs>
        <w:ind w:left="720" w:hanging="360"/>
      </w:pPr>
    </w:lvl>
    <w:lvl w:ilvl="1">
      <w:start w:val="1"/>
      <w:numFmt w:val="decimal"/>
      <w:lvlText w:val="%2."/>
      <w:lvlJc w:val="left"/>
      <w:pPr>
        <w:ind w:left="1530" w:hanging="360"/>
      </w:pPr>
      <w:rPr>
        <w:b w:val="0"/>
        <w:bCs w:val="0"/>
        <w:i w:val="0"/>
        <w:iCs w:val="0"/>
      </w:r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5"/>
  </w:num>
  <w:num w:numId="3">
    <w:abstractNumId w:val="5"/>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4"/>
  </w:num>
  <w:num w:numId="7">
    <w:abstractNumId w:val="6"/>
  </w:num>
  <w:num w:numId="8">
    <w:abstractNumId w:val="7"/>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0"/>
  </w:num>
  <w:num w:numId="12">
    <w:abstractNumId w:val="8"/>
  </w:num>
  <w:num w:numId="13">
    <w:abstractNumId w:val="2"/>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FD1"/>
    <w:rsid w:val="0007418C"/>
    <w:rsid w:val="000C617A"/>
    <w:rsid w:val="000E01CB"/>
    <w:rsid w:val="000F61B4"/>
    <w:rsid w:val="001019D5"/>
    <w:rsid w:val="00114412"/>
    <w:rsid w:val="001365FE"/>
    <w:rsid w:val="001C2114"/>
    <w:rsid w:val="001E42B8"/>
    <w:rsid w:val="001F139F"/>
    <w:rsid w:val="00293FD1"/>
    <w:rsid w:val="00297C1C"/>
    <w:rsid w:val="002A45F5"/>
    <w:rsid w:val="002B427E"/>
    <w:rsid w:val="002D74E2"/>
    <w:rsid w:val="00312AAD"/>
    <w:rsid w:val="003567F2"/>
    <w:rsid w:val="003A65CF"/>
    <w:rsid w:val="003B55CA"/>
    <w:rsid w:val="003B6A6D"/>
    <w:rsid w:val="003C7E3D"/>
    <w:rsid w:val="00411287"/>
    <w:rsid w:val="0044234C"/>
    <w:rsid w:val="00454AAE"/>
    <w:rsid w:val="00473020"/>
    <w:rsid w:val="004A117E"/>
    <w:rsid w:val="004C1B3D"/>
    <w:rsid w:val="004C3AA9"/>
    <w:rsid w:val="00515C8F"/>
    <w:rsid w:val="0052511F"/>
    <w:rsid w:val="00530D82"/>
    <w:rsid w:val="00550377"/>
    <w:rsid w:val="00556CFC"/>
    <w:rsid w:val="00561AEA"/>
    <w:rsid w:val="00563A0F"/>
    <w:rsid w:val="005A3221"/>
    <w:rsid w:val="005E0931"/>
    <w:rsid w:val="005F0C07"/>
    <w:rsid w:val="0060606E"/>
    <w:rsid w:val="00620D52"/>
    <w:rsid w:val="00623B5D"/>
    <w:rsid w:val="00641169"/>
    <w:rsid w:val="006666E2"/>
    <w:rsid w:val="006849C6"/>
    <w:rsid w:val="006A33AB"/>
    <w:rsid w:val="006A6E3F"/>
    <w:rsid w:val="006C3F69"/>
    <w:rsid w:val="006F374E"/>
    <w:rsid w:val="006F4CD4"/>
    <w:rsid w:val="007469F8"/>
    <w:rsid w:val="00752225"/>
    <w:rsid w:val="007540EE"/>
    <w:rsid w:val="007E7355"/>
    <w:rsid w:val="007E7B4B"/>
    <w:rsid w:val="007F4176"/>
    <w:rsid w:val="007F70CE"/>
    <w:rsid w:val="00844442"/>
    <w:rsid w:val="0086438B"/>
    <w:rsid w:val="00890E06"/>
    <w:rsid w:val="0090518D"/>
    <w:rsid w:val="009539C4"/>
    <w:rsid w:val="009A7EAA"/>
    <w:rsid w:val="009D32FD"/>
    <w:rsid w:val="009E2029"/>
    <w:rsid w:val="009E56A5"/>
    <w:rsid w:val="009F3AD0"/>
    <w:rsid w:val="00A1773D"/>
    <w:rsid w:val="00A94244"/>
    <w:rsid w:val="00A94AE2"/>
    <w:rsid w:val="00AF7C95"/>
    <w:rsid w:val="00B052A5"/>
    <w:rsid w:val="00B847A2"/>
    <w:rsid w:val="00BA10EB"/>
    <w:rsid w:val="00BB631D"/>
    <w:rsid w:val="00C2418C"/>
    <w:rsid w:val="00C3352B"/>
    <w:rsid w:val="00C82BEB"/>
    <w:rsid w:val="00CB4459"/>
    <w:rsid w:val="00CF6889"/>
    <w:rsid w:val="00D31C9C"/>
    <w:rsid w:val="00D416DC"/>
    <w:rsid w:val="00DA4A24"/>
    <w:rsid w:val="00DB0122"/>
    <w:rsid w:val="00E06D6A"/>
    <w:rsid w:val="00E101DC"/>
    <w:rsid w:val="00E1180D"/>
    <w:rsid w:val="00E603D7"/>
    <w:rsid w:val="00E71780"/>
    <w:rsid w:val="00E85748"/>
    <w:rsid w:val="00E95E61"/>
    <w:rsid w:val="00EA2820"/>
    <w:rsid w:val="00EE192E"/>
    <w:rsid w:val="00EF23DA"/>
    <w:rsid w:val="00EF4794"/>
    <w:rsid w:val="00F3394A"/>
    <w:rsid w:val="00F35F16"/>
    <w:rsid w:val="00F475AD"/>
    <w:rsid w:val="00F47D3C"/>
    <w:rsid w:val="00F73DB2"/>
    <w:rsid w:val="00F94DB7"/>
    <w:rsid w:val="00FC30B8"/>
    <w:rsid w:val="00FC5BE6"/>
    <w:rsid w:val="00FD79F1"/>
    <w:rsid w:val="00FF075C"/>
    <w:rsid w:val="00FF6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83D45"/>
  <w15:docId w15:val="{0BDFE6DB-D36D-4412-BC6E-03CBD9981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225"/>
    <w:rPr>
      <w:rFonts w:ascii="Arial" w:hAnsi="Arial"/>
      <w:sz w:val="24"/>
      <w:szCs w:val="24"/>
    </w:rPr>
  </w:style>
  <w:style w:type="paragraph" w:styleId="Heading2">
    <w:name w:val="heading 2"/>
    <w:basedOn w:val="Normal"/>
    <w:next w:val="Normal"/>
    <w:link w:val="Heading2Char"/>
    <w:uiPriority w:val="9"/>
    <w:semiHidden/>
    <w:unhideWhenUsed/>
    <w:qFormat/>
    <w:rsid w:val="00E603D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752225"/>
    <w:pPr>
      <w:numPr>
        <w:ilvl w:val="2"/>
        <w:numId w:val="3"/>
      </w:numPr>
      <w:autoSpaceDE w:val="0"/>
      <w:autoSpaceDN w:val="0"/>
      <w:adjustRightInd w:val="0"/>
      <w:jc w:val="both"/>
      <w:outlineLvl w:val="2"/>
    </w:pPr>
    <w:rPr>
      <w:rFonts w:cs="Arial"/>
      <w:bCs/>
      <w:sz w:val="22"/>
      <w:szCs w:val="26"/>
    </w:rPr>
  </w:style>
  <w:style w:type="paragraph" w:styleId="Heading4">
    <w:name w:val="heading 4"/>
    <w:basedOn w:val="Normal"/>
    <w:next w:val="Normal"/>
    <w:qFormat/>
    <w:rsid w:val="00752225"/>
    <w:pPr>
      <w:keepNext/>
      <w:numPr>
        <w:ilvl w:val="3"/>
        <w:numId w:val="3"/>
      </w:numPr>
      <w:spacing w:before="240" w:after="60"/>
      <w:outlineLvl w:val="3"/>
    </w:pPr>
    <w:rPr>
      <w:rFonts w:ascii="Times New Roman" w:hAnsi="Times New Roman"/>
      <w:b/>
      <w:bCs/>
      <w:sz w:val="28"/>
      <w:szCs w:val="28"/>
    </w:rPr>
  </w:style>
  <w:style w:type="paragraph" w:styleId="Heading5">
    <w:name w:val="heading 5"/>
    <w:basedOn w:val="Heading4"/>
    <w:next w:val="Normal"/>
    <w:autoRedefine/>
    <w:qFormat/>
    <w:rsid w:val="00752225"/>
    <w:pPr>
      <w:widowControl w:val="0"/>
      <w:autoSpaceDE w:val="0"/>
      <w:autoSpaceDN w:val="0"/>
      <w:adjustRightInd w:val="0"/>
      <w:spacing w:before="0" w:after="0"/>
      <w:outlineLvl w:val="4"/>
    </w:pPr>
    <w:rPr>
      <w:rFonts w:ascii="Arial" w:hAnsi="Arial"/>
      <w:b w:val="0"/>
      <w:bCs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52225"/>
    <w:pPr>
      <w:jc w:val="center"/>
    </w:pPr>
    <w:rPr>
      <w:sz w:val="28"/>
      <w:u w:val="single"/>
    </w:rPr>
  </w:style>
  <w:style w:type="paragraph" w:styleId="BodyText">
    <w:name w:val="Body Text"/>
    <w:basedOn w:val="Normal"/>
    <w:semiHidden/>
    <w:rsid w:val="00752225"/>
    <w:pPr>
      <w:jc w:val="both"/>
    </w:pPr>
  </w:style>
  <w:style w:type="paragraph" w:styleId="BalloonText">
    <w:name w:val="Balloon Text"/>
    <w:basedOn w:val="Normal"/>
    <w:link w:val="BalloonTextChar"/>
    <w:uiPriority w:val="99"/>
    <w:semiHidden/>
    <w:unhideWhenUsed/>
    <w:rsid w:val="004423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234C"/>
    <w:rPr>
      <w:rFonts w:ascii="Segoe UI" w:hAnsi="Segoe UI" w:cs="Segoe UI"/>
      <w:sz w:val="18"/>
      <w:szCs w:val="18"/>
    </w:rPr>
  </w:style>
  <w:style w:type="paragraph" w:customStyle="1" w:styleId="Default">
    <w:name w:val="Default"/>
    <w:uiPriority w:val="99"/>
    <w:rsid w:val="00E1180D"/>
    <w:pPr>
      <w:autoSpaceDE w:val="0"/>
      <w:autoSpaceDN w:val="0"/>
      <w:adjustRightInd w:val="0"/>
    </w:pPr>
    <w:rPr>
      <w:rFonts w:ascii="Tahoma" w:hAnsi="Tahoma" w:cs="Tahoma"/>
      <w:color w:val="000000"/>
      <w:sz w:val="24"/>
      <w:szCs w:val="24"/>
    </w:rPr>
  </w:style>
  <w:style w:type="paragraph" w:styleId="Header">
    <w:name w:val="header"/>
    <w:basedOn w:val="Normal"/>
    <w:link w:val="HeaderChar"/>
    <w:uiPriority w:val="99"/>
    <w:unhideWhenUsed/>
    <w:rsid w:val="0060606E"/>
    <w:pPr>
      <w:tabs>
        <w:tab w:val="center" w:pos="4680"/>
        <w:tab w:val="right" w:pos="9360"/>
      </w:tabs>
    </w:pPr>
  </w:style>
  <w:style w:type="character" w:customStyle="1" w:styleId="HeaderChar">
    <w:name w:val="Header Char"/>
    <w:basedOn w:val="DefaultParagraphFont"/>
    <w:link w:val="Header"/>
    <w:uiPriority w:val="99"/>
    <w:rsid w:val="0060606E"/>
    <w:rPr>
      <w:rFonts w:ascii="Arial" w:hAnsi="Arial"/>
      <w:sz w:val="24"/>
      <w:szCs w:val="24"/>
    </w:rPr>
  </w:style>
  <w:style w:type="paragraph" w:styleId="Footer">
    <w:name w:val="footer"/>
    <w:basedOn w:val="Normal"/>
    <w:link w:val="FooterChar"/>
    <w:uiPriority w:val="99"/>
    <w:unhideWhenUsed/>
    <w:rsid w:val="0060606E"/>
    <w:pPr>
      <w:tabs>
        <w:tab w:val="center" w:pos="4680"/>
        <w:tab w:val="right" w:pos="9360"/>
      </w:tabs>
    </w:pPr>
  </w:style>
  <w:style w:type="character" w:customStyle="1" w:styleId="FooterChar">
    <w:name w:val="Footer Char"/>
    <w:basedOn w:val="DefaultParagraphFont"/>
    <w:link w:val="Footer"/>
    <w:uiPriority w:val="99"/>
    <w:rsid w:val="0060606E"/>
    <w:rPr>
      <w:rFonts w:ascii="Arial" w:hAnsi="Arial"/>
      <w:sz w:val="24"/>
      <w:szCs w:val="24"/>
    </w:rPr>
  </w:style>
  <w:style w:type="character" w:styleId="Hyperlink">
    <w:name w:val="Hyperlink"/>
    <w:basedOn w:val="DefaultParagraphFont"/>
    <w:uiPriority w:val="99"/>
    <w:unhideWhenUsed/>
    <w:rsid w:val="00E101DC"/>
    <w:rPr>
      <w:color w:val="0000FF" w:themeColor="hyperlink"/>
      <w:u w:val="single"/>
    </w:rPr>
  </w:style>
  <w:style w:type="paragraph" w:styleId="Revision">
    <w:name w:val="Revision"/>
    <w:hidden/>
    <w:uiPriority w:val="99"/>
    <w:semiHidden/>
    <w:rsid w:val="005A3221"/>
    <w:rPr>
      <w:rFonts w:ascii="Arial" w:hAnsi="Arial"/>
      <w:sz w:val="24"/>
      <w:szCs w:val="24"/>
    </w:rPr>
  </w:style>
  <w:style w:type="character" w:styleId="UnresolvedMention">
    <w:name w:val="Unresolved Mention"/>
    <w:basedOn w:val="DefaultParagraphFont"/>
    <w:uiPriority w:val="99"/>
    <w:semiHidden/>
    <w:unhideWhenUsed/>
    <w:rsid w:val="00DB0122"/>
    <w:rPr>
      <w:color w:val="605E5C"/>
      <w:shd w:val="clear" w:color="auto" w:fill="E1DFDD"/>
    </w:rPr>
  </w:style>
  <w:style w:type="paragraph" w:styleId="ListParagraph">
    <w:name w:val="List Paragraph"/>
    <w:basedOn w:val="Normal"/>
    <w:uiPriority w:val="34"/>
    <w:qFormat/>
    <w:rsid w:val="00F94DB7"/>
    <w:pPr>
      <w:ind w:left="720"/>
    </w:pPr>
    <w:rPr>
      <w:rFonts w:ascii="Calibri" w:eastAsiaTheme="minorHAnsi" w:hAnsi="Calibri" w:cs="Calibri"/>
      <w:sz w:val="22"/>
      <w:szCs w:val="22"/>
    </w:rPr>
  </w:style>
  <w:style w:type="paragraph" w:styleId="NormalWeb">
    <w:name w:val="Normal (Web)"/>
    <w:basedOn w:val="Normal"/>
    <w:uiPriority w:val="99"/>
    <w:semiHidden/>
    <w:unhideWhenUsed/>
    <w:rsid w:val="00E71780"/>
    <w:pPr>
      <w:spacing w:before="100" w:beforeAutospacing="1" w:after="100" w:afterAutospacing="1"/>
    </w:pPr>
    <w:rPr>
      <w:rFonts w:ascii="Calibri" w:eastAsiaTheme="minorHAnsi" w:hAnsi="Calibri" w:cs="Calibri"/>
      <w:sz w:val="22"/>
      <w:szCs w:val="22"/>
    </w:rPr>
  </w:style>
  <w:style w:type="character" w:customStyle="1" w:styleId="apple-converted-space">
    <w:name w:val="apple-converted-space"/>
    <w:basedOn w:val="DefaultParagraphFont"/>
    <w:rsid w:val="00E71780"/>
  </w:style>
  <w:style w:type="character" w:customStyle="1" w:styleId="Heading2Char">
    <w:name w:val="Heading 2 Char"/>
    <w:basedOn w:val="DefaultParagraphFont"/>
    <w:link w:val="Heading2"/>
    <w:uiPriority w:val="9"/>
    <w:semiHidden/>
    <w:rsid w:val="00E603D7"/>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E603D7"/>
    <w:pPr>
      <w:widowControl w:val="0"/>
    </w:pPr>
    <w:rPr>
      <w:rFonts w:asciiTheme="minorHAnsi" w:eastAsiaTheme="minorHAnsi" w:hAnsiTheme="minorHAnsi" w:cstheme="minorBidi"/>
      <w:sz w:val="22"/>
      <w:szCs w:val="22"/>
    </w:rPr>
  </w:style>
  <w:style w:type="table" w:styleId="TableGrid">
    <w:name w:val="Table Grid"/>
    <w:basedOn w:val="TableNormal"/>
    <w:uiPriority w:val="59"/>
    <w:rsid w:val="00E60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38113">
      <w:bodyDiv w:val="1"/>
      <w:marLeft w:val="0"/>
      <w:marRight w:val="0"/>
      <w:marTop w:val="0"/>
      <w:marBottom w:val="0"/>
      <w:divBdr>
        <w:top w:val="none" w:sz="0" w:space="0" w:color="auto"/>
        <w:left w:val="none" w:sz="0" w:space="0" w:color="auto"/>
        <w:bottom w:val="none" w:sz="0" w:space="0" w:color="auto"/>
        <w:right w:val="none" w:sz="0" w:space="0" w:color="auto"/>
      </w:divBdr>
    </w:div>
    <w:div w:id="99106615">
      <w:bodyDiv w:val="1"/>
      <w:marLeft w:val="0"/>
      <w:marRight w:val="0"/>
      <w:marTop w:val="0"/>
      <w:marBottom w:val="0"/>
      <w:divBdr>
        <w:top w:val="none" w:sz="0" w:space="0" w:color="auto"/>
        <w:left w:val="none" w:sz="0" w:space="0" w:color="auto"/>
        <w:bottom w:val="none" w:sz="0" w:space="0" w:color="auto"/>
        <w:right w:val="none" w:sz="0" w:space="0" w:color="auto"/>
      </w:divBdr>
    </w:div>
    <w:div w:id="102579353">
      <w:bodyDiv w:val="1"/>
      <w:marLeft w:val="0"/>
      <w:marRight w:val="0"/>
      <w:marTop w:val="0"/>
      <w:marBottom w:val="0"/>
      <w:divBdr>
        <w:top w:val="none" w:sz="0" w:space="0" w:color="auto"/>
        <w:left w:val="none" w:sz="0" w:space="0" w:color="auto"/>
        <w:bottom w:val="none" w:sz="0" w:space="0" w:color="auto"/>
        <w:right w:val="none" w:sz="0" w:space="0" w:color="auto"/>
      </w:divBdr>
    </w:div>
    <w:div w:id="112095690">
      <w:bodyDiv w:val="1"/>
      <w:marLeft w:val="0"/>
      <w:marRight w:val="0"/>
      <w:marTop w:val="0"/>
      <w:marBottom w:val="0"/>
      <w:divBdr>
        <w:top w:val="none" w:sz="0" w:space="0" w:color="auto"/>
        <w:left w:val="none" w:sz="0" w:space="0" w:color="auto"/>
        <w:bottom w:val="none" w:sz="0" w:space="0" w:color="auto"/>
        <w:right w:val="none" w:sz="0" w:space="0" w:color="auto"/>
      </w:divBdr>
    </w:div>
    <w:div w:id="218782455">
      <w:bodyDiv w:val="1"/>
      <w:marLeft w:val="0"/>
      <w:marRight w:val="0"/>
      <w:marTop w:val="0"/>
      <w:marBottom w:val="0"/>
      <w:divBdr>
        <w:top w:val="none" w:sz="0" w:space="0" w:color="auto"/>
        <w:left w:val="none" w:sz="0" w:space="0" w:color="auto"/>
        <w:bottom w:val="none" w:sz="0" w:space="0" w:color="auto"/>
        <w:right w:val="none" w:sz="0" w:space="0" w:color="auto"/>
      </w:divBdr>
    </w:div>
    <w:div w:id="391318221">
      <w:bodyDiv w:val="1"/>
      <w:marLeft w:val="0"/>
      <w:marRight w:val="0"/>
      <w:marTop w:val="0"/>
      <w:marBottom w:val="0"/>
      <w:divBdr>
        <w:top w:val="none" w:sz="0" w:space="0" w:color="auto"/>
        <w:left w:val="none" w:sz="0" w:space="0" w:color="auto"/>
        <w:bottom w:val="none" w:sz="0" w:space="0" w:color="auto"/>
        <w:right w:val="none" w:sz="0" w:space="0" w:color="auto"/>
      </w:divBdr>
    </w:div>
    <w:div w:id="476457701">
      <w:bodyDiv w:val="1"/>
      <w:marLeft w:val="0"/>
      <w:marRight w:val="0"/>
      <w:marTop w:val="0"/>
      <w:marBottom w:val="0"/>
      <w:divBdr>
        <w:top w:val="none" w:sz="0" w:space="0" w:color="auto"/>
        <w:left w:val="none" w:sz="0" w:space="0" w:color="auto"/>
        <w:bottom w:val="none" w:sz="0" w:space="0" w:color="auto"/>
        <w:right w:val="none" w:sz="0" w:space="0" w:color="auto"/>
      </w:divBdr>
    </w:div>
    <w:div w:id="704714160">
      <w:bodyDiv w:val="1"/>
      <w:marLeft w:val="0"/>
      <w:marRight w:val="0"/>
      <w:marTop w:val="0"/>
      <w:marBottom w:val="0"/>
      <w:divBdr>
        <w:top w:val="none" w:sz="0" w:space="0" w:color="auto"/>
        <w:left w:val="none" w:sz="0" w:space="0" w:color="auto"/>
        <w:bottom w:val="none" w:sz="0" w:space="0" w:color="auto"/>
        <w:right w:val="none" w:sz="0" w:space="0" w:color="auto"/>
      </w:divBdr>
    </w:div>
    <w:div w:id="809588571">
      <w:bodyDiv w:val="1"/>
      <w:marLeft w:val="0"/>
      <w:marRight w:val="0"/>
      <w:marTop w:val="0"/>
      <w:marBottom w:val="0"/>
      <w:divBdr>
        <w:top w:val="none" w:sz="0" w:space="0" w:color="auto"/>
        <w:left w:val="none" w:sz="0" w:space="0" w:color="auto"/>
        <w:bottom w:val="none" w:sz="0" w:space="0" w:color="auto"/>
        <w:right w:val="none" w:sz="0" w:space="0" w:color="auto"/>
      </w:divBdr>
    </w:div>
    <w:div w:id="918096075">
      <w:bodyDiv w:val="1"/>
      <w:marLeft w:val="0"/>
      <w:marRight w:val="0"/>
      <w:marTop w:val="0"/>
      <w:marBottom w:val="0"/>
      <w:divBdr>
        <w:top w:val="none" w:sz="0" w:space="0" w:color="auto"/>
        <w:left w:val="none" w:sz="0" w:space="0" w:color="auto"/>
        <w:bottom w:val="none" w:sz="0" w:space="0" w:color="auto"/>
        <w:right w:val="none" w:sz="0" w:space="0" w:color="auto"/>
      </w:divBdr>
    </w:div>
    <w:div w:id="944843942">
      <w:bodyDiv w:val="1"/>
      <w:marLeft w:val="0"/>
      <w:marRight w:val="0"/>
      <w:marTop w:val="0"/>
      <w:marBottom w:val="0"/>
      <w:divBdr>
        <w:top w:val="none" w:sz="0" w:space="0" w:color="auto"/>
        <w:left w:val="none" w:sz="0" w:space="0" w:color="auto"/>
        <w:bottom w:val="none" w:sz="0" w:space="0" w:color="auto"/>
        <w:right w:val="none" w:sz="0" w:space="0" w:color="auto"/>
      </w:divBdr>
    </w:div>
    <w:div w:id="1136869588">
      <w:bodyDiv w:val="1"/>
      <w:marLeft w:val="0"/>
      <w:marRight w:val="0"/>
      <w:marTop w:val="0"/>
      <w:marBottom w:val="0"/>
      <w:divBdr>
        <w:top w:val="none" w:sz="0" w:space="0" w:color="auto"/>
        <w:left w:val="none" w:sz="0" w:space="0" w:color="auto"/>
        <w:bottom w:val="none" w:sz="0" w:space="0" w:color="auto"/>
        <w:right w:val="none" w:sz="0" w:space="0" w:color="auto"/>
      </w:divBdr>
    </w:div>
    <w:div w:id="1189872287">
      <w:bodyDiv w:val="1"/>
      <w:marLeft w:val="0"/>
      <w:marRight w:val="0"/>
      <w:marTop w:val="0"/>
      <w:marBottom w:val="0"/>
      <w:divBdr>
        <w:top w:val="none" w:sz="0" w:space="0" w:color="auto"/>
        <w:left w:val="none" w:sz="0" w:space="0" w:color="auto"/>
        <w:bottom w:val="none" w:sz="0" w:space="0" w:color="auto"/>
        <w:right w:val="none" w:sz="0" w:space="0" w:color="auto"/>
      </w:divBdr>
    </w:div>
    <w:div w:id="1298147179">
      <w:bodyDiv w:val="1"/>
      <w:marLeft w:val="0"/>
      <w:marRight w:val="0"/>
      <w:marTop w:val="0"/>
      <w:marBottom w:val="0"/>
      <w:divBdr>
        <w:top w:val="none" w:sz="0" w:space="0" w:color="auto"/>
        <w:left w:val="none" w:sz="0" w:space="0" w:color="auto"/>
        <w:bottom w:val="none" w:sz="0" w:space="0" w:color="auto"/>
        <w:right w:val="none" w:sz="0" w:space="0" w:color="auto"/>
      </w:divBdr>
    </w:div>
    <w:div w:id="1416127464">
      <w:bodyDiv w:val="1"/>
      <w:marLeft w:val="0"/>
      <w:marRight w:val="0"/>
      <w:marTop w:val="0"/>
      <w:marBottom w:val="0"/>
      <w:divBdr>
        <w:top w:val="none" w:sz="0" w:space="0" w:color="auto"/>
        <w:left w:val="none" w:sz="0" w:space="0" w:color="auto"/>
        <w:bottom w:val="none" w:sz="0" w:space="0" w:color="auto"/>
        <w:right w:val="none" w:sz="0" w:space="0" w:color="auto"/>
      </w:divBdr>
    </w:div>
    <w:div w:id="1433163869">
      <w:bodyDiv w:val="1"/>
      <w:marLeft w:val="0"/>
      <w:marRight w:val="0"/>
      <w:marTop w:val="0"/>
      <w:marBottom w:val="0"/>
      <w:divBdr>
        <w:top w:val="none" w:sz="0" w:space="0" w:color="auto"/>
        <w:left w:val="none" w:sz="0" w:space="0" w:color="auto"/>
        <w:bottom w:val="none" w:sz="0" w:space="0" w:color="auto"/>
        <w:right w:val="none" w:sz="0" w:space="0" w:color="auto"/>
      </w:divBdr>
    </w:div>
    <w:div w:id="1436369387">
      <w:bodyDiv w:val="1"/>
      <w:marLeft w:val="0"/>
      <w:marRight w:val="0"/>
      <w:marTop w:val="0"/>
      <w:marBottom w:val="0"/>
      <w:divBdr>
        <w:top w:val="none" w:sz="0" w:space="0" w:color="auto"/>
        <w:left w:val="none" w:sz="0" w:space="0" w:color="auto"/>
        <w:bottom w:val="none" w:sz="0" w:space="0" w:color="auto"/>
        <w:right w:val="none" w:sz="0" w:space="0" w:color="auto"/>
      </w:divBdr>
    </w:div>
    <w:div w:id="1619874408">
      <w:bodyDiv w:val="1"/>
      <w:marLeft w:val="0"/>
      <w:marRight w:val="0"/>
      <w:marTop w:val="0"/>
      <w:marBottom w:val="0"/>
      <w:divBdr>
        <w:top w:val="none" w:sz="0" w:space="0" w:color="auto"/>
        <w:left w:val="none" w:sz="0" w:space="0" w:color="auto"/>
        <w:bottom w:val="none" w:sz="0" w:space="0" w:color="auto"/>
        <w:right w:val="none" w:sz="0" w:space="0" w:color="auto"/>
      </w:divBdr>
    </w:div>
    <w:div w:id="1742412710">
      <w:bodyDiv w:val="1"/>
      <w:marLeft w:val="0"/>
      <w:marRight w:val="0"/>
      <w:marTop w:val="0"/>
      <w:marBottom w:val="0"/>
      <w:divBdr>
        <w:top w:val="none" w:sz="0" w:space="0" w:color="auto"/>
        <w:left w:val="none" w:sz="0" w:space="0" w:color="auto"/>
        <w:bottom w:val="none" w:sz="0" w:space="0" w:color="auto"/>
        <w:right w:val="none" w:sz="0" w:space="0" w:color="auto"/>
      </w:divBdr>
    </w:div>
    <w:div w:id="1831367376">
      <w:bodyDiv w:val="1"/>
      <w:marLeft w:val="0"/>
      <w:marRight w:val="0"/>
      <w:marTop w:val="0"/>
      <w:marBottom w:val="0"/>
      <w:divBdr>
        <w:top w:val="none" w:sz="0" w:space="0" w:color="auto"/>
        <w:left w:val="none" w:sz="0" w:space="0" w:color="auto"/>
        <w:bottom w:val="none" w:sz="0" w:space="0" w:color="auto"/>
        <w:right w:val="none" w:sz="0" w:space="0" w:color="auto"/>
      </w:divBdr>
    </w:div>
    <w:div w:id="1848405127">
      <w:bodyDiv w:val="1"/>
      <w:marLeft w:val="0"/>
      <w:marRight w:val="0"/>
      <w:marTop w:val="0"/>
      <w:marBottom w:val="0"/>
      <w:divBdr>
        <w:top w:val="none" w:sz="0" w:space="0" w:color="auto"/>
        <w:left w:val="none" w:sz="0" w:space="0" w:color="auto"/>
        <w:bottom w:val="none" w:sz="0" w:space="0" w:color="auto"/>
        <w:right w:val="none" w:sz="0" w:space="0" w:color="auto"/>
      </w:divBdr>
    </w:div>
    <w:div w:id="1881478544">
      <w:bodyDiv w:val="1"/>
      <w:marLeft w:val="0"/>
      <w:marRight w:val="0"/>
      <w:marTop w:val="0"/>
      <w:marBottom w:val="0"/>
      <w:divBdr>
        <w:top w:val="none" w:sz="0" w:space="0" w:color="auto"/>
        <w:left w:val="none" w:sz="0" w:space="0" w:color="auto"/>
        <w:bottom w:val="none" w:sz="0" w:space="0" w:color="auto"/>
        <w:right w:val="none" w:sz="0" w:space="0" w:color="auto"/>
      </w:divBdr>
    </w:div>
    <w:div w:id="2004965268">
      <w:bodyDiv w:val="1"/>
      <w:marLeft w:val="0"/>
      <w:marRight w:val="0"/>
      <w:marTop w:val="0"/>
      <w:marBottom w:val="0"/>
      <w:divBdr>
        <w:top w:val="none" w:sz="0" w:space="0" w:color="auto"/>
        <w:left w:val="none" w:sz="0" w:space="0" w:color="auto"/>
        <w:bottom w:val="none" w:sz="0" w:space="0" w:color="auto"/>
        <w:right w:val="none" w:sz="0" w:space="0" w:color="auto"/>
      </w:divBdr>
    </w:div>
    <w:div w:id="2006742841">
      <w:bodyDiv w:val="1"/>
      <w:marLeft w:val="0"/>
      <w:marRight w:val="0"/>
      <w:marTop w:val="0"/>
      <w:marBottom w:val="0"/>
      <w:divBdr>
        <w:top w:val="none" w:sz="0" w:space="0" w:color="auto"/>
        <w:left w:val="none" w:sz="0" w:space="0" w:color="auto"/>
        <w:bottom w:val="none" w:sz="0" w:space="0" w:color="auto"/>
        <w:right w:val="none" w:sz="0" w:space="0" w:color="auto"/>
      </w:divBdr>
    </w:div>
    <w:div w:id="2042899787">
      <w:bodyDiv w:val="1"/>
      <w:marLeft w:val="0"/>
      <w:marRight w:val="0"/>
      <w:marTop w:val="0"/>
      <w:marBottom w:val="0"/>
      <w:divBdr>
        <w:top w:val="none" w:sz="0" w:space="0" w:color="auto"/>
        <w:left w:val="none" w:sz="0" w:space="0" w:color="auto"/>
        <w:bottom w:val="none" w:sz="0" w:space="0" w:color="auto"/>
        <w:right w:val="none" w:sz="0" w:space="0" w:color="auto"/>
      </w:divBdr>
    </w:div>
    <w:div w:id="2043940569">
      <w:bodyDiv w:val="1"/>
      <w:marLeft w:val="0"/>
      <w:marRight w:val="0"/>
      <w:marTop w:val="0"/>
      <w:marBottom w:val="0"/>
      <w:divBdr>
        <w:top w:val="none" w:sz="0" w:space="0" w:color="auto"/>
        <w:left w:val="none" w:sz="0" w:space="0" w:color="auto"/>
        <w:bottom w:val="none" w:sz="0" w:space="0" w:color="auto"/>
        <w:right w:val="none" w:sz="0" w:space="0" w:color="auto"/>
      </w:divBdr>
    </w:div>
    <w:div w:id="2065980231">
      <w:bodyDiv w:val="1"/>
      <w:marLeft w:val="0"/>
      <w:marRight w:val="0"/>
      <w:marTop w:val="0"/>
      <w:marBottom w:val="0"/>
      <w:divBdr>
        <w:top w:val="none" w:sz="0" w:space="0" w:color="auto"/>
        <w:left w:val="none" w:sz="0" w:space="0" w:color="auto"/>
        <w:bottom w:val="none" w:sz="0" w:space="0" w:color="auto"/>
        <w:right w:val="none" w:sz="0" w:space="0" w:color="auto"/>
      </w:divBdr>
    </w:div>
    <w:div w:id="208459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ighered.texas.gov/about-us/procurement/" TargetMode="External"/><Relationship Id="rId13" Type="http://schemas.openxmlformats.org/officeDocument/2006/relationships/hyperlink" Target="https://gov.texas.gov/news/post/governor-abbott-announces-additional-118-million-in-federal-funding-to-support-texas-higher-education"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gov.texas.gov/news/post/governor-abbott-allocates-emergency-education-relief-funding-for-texas-higher-educatio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s@highered.texas.gov" TargetMode="External"/><Relationship Id="rId5" Type="http://schemas.openxmlformats.org/officeDocument/2006/relationships/footnotes" Target="footnotes.xml"/><Relationship Id="rId15" Type="http://schemas.openxmlformats.org/officeDocument/2006/relationships/hyperlink" Target="https://fmx.cpa.texas.gov/fmx/finrpt/singleaudit/index.php" TargetMode="Externa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ecfr.gov/cgi-bin/text-idx?node=sp2.1.200.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NON-DISCLOSURE STATEMENT</vt:lpstr>
    </vt:vector>
  </TitlesOfParts>
  <Company>.</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NON-DISCLOSURE STATEMENT</dc:title>
  <dc:creator>DobrichJN</dc:creator>
  <cp:lastModifiedBy>Contreras, Kammi</cp:lastModifiedBy>
  <cp:revision>2</cp:revision>
  <cp:lastPrinted>2019-02-11T16:37:00Z</cp:lastPrinted>
  <dcterms:created xsi:type="dcterms:W3CDTF">2020-08-12T21:52:00Z</dcterms:created>
  <dcterms:modified xsi:type="dcterms:W3CDTF">2020-08-12T21:52:00Z</dcterms:modified>
</cp:coreProperties>
</file>