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40388B" w14:textId="77777777" w:rsidR="001F139F" w:rsidRDefault="001F139F" w:rsidP="001F139F">
      <w:pPr>
        <w:pStyle w:val="BodyText"/>
        <w:spacing w:before="59"/>
        <w:jc w:val="left"/>
        <w:rPr>
          <w:b/>
          <w:bCs/>
        </w:rPr>
      </w:pPr>
      <w:r>
        <w:rPr>
          <w:b/>
          <w:bCs/>
          <w:noProof/>
        </w:rPr>
        <w:drawing>
          <wp:inline distT="0" distB="0" distL="0" distR="0" wp14:anchorId="6BC43420" wp14:editId="6110A556">
            <wp:extent cx="1455420" cy="747634"/>
            <wp:effectExtent l="0" t="0" r="0" b="0"/>
            <wp:docPr id="2" name="Picture 2" descr="THEC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CB-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4153" cy="757257"/>
                    </a:xfrm>
                    <a:prstGeom prst="rect">
                      <a:avLst/>
                    </a:prstGeom>
                  </pic:spPr>
                </pic:pic>
              </a:graphicData>
            </a:graphic>
          </wp:inline>
        </w:drawing>
      </w:r>
    </w:p>
    <w:p w14:paraId="58C60B21" w14:textId="77777777" w:rsidR="001F139F" w:rsidRDefault="001F139F" w:rsidP="001F139F">
      <w:pPr>
        <w:pStyle w:val="BodyText"/>
        <w:spacing w:before="59"/>
        <w:ind w:right="270"/>
        <w:jc w:val="center"/>
        <w:rPr>
          <w:b/>
          <w:bCs/>
          <w:sz w:val="36"/>
          <w:szCs w:val="36"/>
        </w:rPr>
      </w:pPr>
    </w:p>
    <w:p w14:paraId="40A5DAA3" w14:textId="77777777" w:rsidR="001F139F" w:rsidRPr="001F139F" w:rsidRDefault="001F139F" w:rsidP="001F139F">
      <w:pPr>
        <w:pStyle w:val="BodyText"/>
        <w:spacing w:before="59"/>
        <w:ind w:right="270"/>
        <w:jc w:val="center"/>
        <w:rPr>
          <w:b/>
          <w:bCs/>
          <w:sz w:val="36"/>
          <w:szCs w:val="36"/>
        </w:rPr>
      </w:pPr>
      <w:r w:rsidRPr="001F139F">
        <w:rPr>
          <w:b/>
          <w:bCs/>
          <w:sz w:val="36"/>
          <w:szCs w:val="36"/>
        </w:rPr>
        <w:t>Questions and Answers</w:t>
      </w:r>
    </w:p>
    <w:p w14:paraId="35C17D67" w14:textId="77777777" w:rsidR="005F0C07" w:rsidRDefault="005F0C07" w:rsidP="001F139F">
      <w:pPr>
        <w:pStyle w:val="BodyText"/>
        <w:spacing w:before="59"/>
        <w:ind w:left="2160"/>
        <w:jc w:val="center"/>
        <w:rPr>
          <w:b/>
          <w:bCs/>
        </w:rPr>
      </w:pPr>
    </w:p>
    <w:p w14:paraId="5AF49841" w14:textId="35424EF0" w:rsidR="00FD79F1" w:rsidRPr="000B4696" w:rsidRDefault="0007418C" w:rsidP="001F139F">
      <w:pPr>
        <w:jc w:val="center"/>
        <w:rPr>
          <w:rFonts w:ascii="Tahoma" w:eastAsia="Tahoma" w:hAnsi="Tahoma" w:cs="Tahoma"/>
          <w:color w:val="FF0000"/>
        </w:rPr>
      </w:pPr>
      <w:r>
        <w:rPr>
          <w:b/>
          <w:bCs/>
        </w:rPr>
        <w:t>Financial Audit Services</w:t>
      </w:r>
    </w:p>
    <w:p w14:paraId="7481EC86" w14:textId="39E46D05" w:rsidR="001F139F" w:rsidRPr="00FD79F1" w:rsidRDefault="001F139F" w:rsidP="000C617A">
      <w:pPr>
        <w:pStyle w:val="BodyText"/>
        <w:spacing w:before="59"/>
        <w:ind w:left="-180"/>
        <w:jc w:val="center"/>
        <w:rPr>
          <w:b/>
          <w:bCs/>
        </w:rPr>
      </w:pPr>
      <w:r>
        <w:rPr>
          <w:b/>
          <w:bCs/>
        </w:rPr>
        <w:t>RF</w:t>
      </w:r>
      <w:r w:rsidR="0007418C">
        <w:rPr>
          <w:b/>
          <w:bCs/>
        </w:rPr>
        <w:t>Q</w:t>
      </w:r>
      <w:r>
        <w:rPr>
          <w:b/>
          <w:bCs/>
        </w:rPr>
        <w:t xml:space="preserve">: </w:t>
      </w:r>
      <w:r w:rsidRPr="00FD79F1">
        <w:rPr>
          <w:b/>
          <w:bCs/>
        </w:rPr>
        <w:t>No. 781-</w:t>
      </w:r>
      <w:r w:rsidR="0007418C">
        <w:rPr>
          <w:b/>
          <w:bCs/>
        </w:rPr>
        <w:t>1-23173</w:t>
      </w:r>
    </w:p>
    <w:p w14:paraId="375BB4A3" w14:textId="77777777" w:rsidR="005F0C07" w:rsidRDefault="005F0C07" w:rsidP="001F139F">
      <w:pPr>
        <w:pStyle w:val="Title"/>
        <w:jc w:val="left"/>
        <w:rPr>
          <w:b/>
          <w:bCs/>
          <w:u w:val="none"/>
        </w:rPr>
      </w:pPr>
    </w:p>
    <w:p w14:paraId="579DC20C" w14:textId="77777777" w:rsidR="00F94DB7" w:rsidRPr="00B847A2" w:rsidRDefault="005F0C07" w:rsidP="009E2029">
      <w:pPr>
        <w:pStyle w:val="Title"/>
        <w:ind w:left="-90"/>
        <w:jc w:val="left"/>
        <w:rPr>
          <w:rFonts w:ascii="Tahoma" w:hAnsi="Tahoma" w:cs="Tahoma"/>
          <w:bCs/>
          <w:sz w:val="22"/>
          <w:szCs w:val="22"/>
          <w:u w:val="none"/>
        </w:rPr>
      </w:pPr>
      <w:r w:rsidRPr="00B847A2">
        <w:rPr>
          <w:rFonts w:ascii="Tahoma" w:hAnsi="Tahoma" w:cs="Tahoma"/>
          <w:b/>
          <w:bCs/>
          <w:sz w:val="22"/>
          <w:szCs w:val="22"/>
          <w:u w:val="none"/>
        </w:rPr>
        <w:t>Question 1</w:t>
      </w:r>
      <w:r w:rsidR="001F139F" w:rsidRPr="00B847A2">
        <w:rPr>
          <w:rFonts w:ascii="Tahoma" w:hAnsi="Tahoma" w:cs="Tahoma"/>
          <w:bCs/>
          <w:sz w:val="22"/>
          <w:szCs w:val="22"/>
          <w:u w:val="none"/>
        </w:rPr>
        <w:t xml:space="preserve">: </w:t>
      </w:r>
    </w:p>
    <w:p w14:paraId="73143747" w14:textId="6F34CCB2" w:rsidR="005F0C07" w:rsidRPr="00B847A2" w:rsidRDefault="0007418C" w:rsidP="009E2029">
      <w:pPr>
        <w:pStyle w:val="Title"/>
        <w:ind w:left="-90"/>
        <w:jc w:val="left"/>
        <w:rPr>
          <w:rFonts w:ascii="Tahoma" w:hAnsi="Tahoma" w:cs="Tahoma"/>
          <w:sz w:val="22"/>
          <w:szCs w:val="22"/>
          <w:u w:val="none"/>
        </w:rPr>
      </w:pPr>
      <w:r w:rsidRPr="00B847A2">
        <w:rPr>
          <w:rFonts w:ascii="Tahoma" w:hAnsi="Tahoma" w:cs="Tahoma"/>
          <w:sz w:val="22"/>
          <w:szCs w:val="22"/>
          <w:u w:val="none"/>
        </w:rPr>
        <w:t xml:space="preserve">Could you provide the latest audited financial statement for The Higher Education Coordinating </w:t>
      </w:r>
      <w:proofErr w:type="gramStart"/>
      <w:r w:rsidRPr="00B847A2">
        <w:rPr>
          <w:rFonts w:ascii="Tahoma" w:hAnsi="Tahoma" w:cs="Tahoma"/>
          <w:sz w:val="22"/>
          <w:szCs w:val="22"/>
          <w:u w:val="none"/>
        </w:rPr>
        <w:t>Board.</w:t>
      </w:r>
      <w:proofErr w:type="gramEnd"/>
      <w:r w:rsidRPr="00B847A2">
        <w:rPr>
          <w:rFonts w:ascii="Tahoma" w:hAnsi="Tahoma" w:cs="Tahoma"/>
          <w:sz w:val="22"/>
          <w:szCs w:val="22"/>
          <w:u w:val="none"/>
        </w:rPr>
        <w:t> I was unable to locate them on the website.</w:t>
      </w:r>
    </w:p>
    <w:p w14:paraId="6999975A" w14:textId="0676B1F6" w:rsidR="005F0C07" w:rsidRPr="00B847A2" w:rsidRDefault="00B052A5" w:rsidP="00F94DB7">
      <w:pPr>
        <w:pStyle w:val="Title"/>
        <w:ind w:left="-90"/>
        <w:jc w:val="left"/>
        <w:rPr>
          <w:rFonts w:ascii="Tahoma" w:hAnsi="Tahoma" w:cs="Tahoma"/>
          <w:sz w:val="22"/>
          <w:szCs w:val="22"/>
          <w:u w:val="none"/>
        </w:rPr>
      </w:pPr>
      <w:r w:rsidRPr="00B847A2">
        <w:rPr>
          <w:rFonts w:ascii="Tahoma" w:hAnsi="Tahoma" w:cs="Tahoma"/>
          <w:b/>
          <w:bCs/>
          <w:color w:val="333333"/>
          <w:sz w:val="22"/>
          <w:szCs w:val="22"/>
          <w:u w:val="none"/>
        </w:rPr>
        <w:t>Response</w:t>
      </w:r>
      <w:r w:rsidR="005F0C07" w:rsidRPr="00B847A2">
        <w:rPr>
          <w:rFonts w:ascii="Tahoma" w:hAnsi="Tahoma" w:cs="Tahoma"/>
          <w:b/>
          <w:bCs/>
          <w:sz w:val="22"/>
          <w:szCs w:val="22"/>
          <w:u w:val="none"/>
        </w:rPr>
        <w:t>:</w:t>
      </w:r>
      <w:r w:rsidR="005F0C07" w:rsidRPr="00B847A2">
        <w:rPr>
          <w:rFonts w:ascii="Tahoma" w:hAnsi="Tahoma" w:cs="Tahoma"/>
          <w:sz w:val="22"/>
          <w:szCs w:val="22"/>
          <w:u w:val="none"/>
        </w:rPr>
        <w:t xml:space="preserve">  </w:t>
      </w:r>
      <w:r w:rsidR="0007418C" w:rsidRPr="00B847A2">
        <w:rPr>
          <w:rFonts w:ascii="Tahoma" w:hAnsi="Tahoma" w:cs="Tahoma"/>
          <w:sz w:val="22"/>
          <w:szCs w:val="22"/>
          <w:u w:val="none"/>
        </w:rPr>
        <w:t>Please find the latest audited financial statement below</w:t>
      </w:r>
      <w:r w:rsidR="004C3AA9" w:rsidRPr="00B847A2">
        <w:rPr>
          <w:rFonts w:ascii="Tahoma" w:hAnsi="Tahoma" w:cs="Tahoma"/>
          <w:sz w:val="22"/>
          <w:szCs w:val="22"/>
          <w:u w:val="none"/>
        </w:rPr>
        <w:t xml:space="preserve">. It is also available under the solicitation documents listed on the </w:t>
      </w:r>
      <w:hyperlink r:id="rId8" w:history="1">
        <w:r w:rsidR="004C3AA9" w:rsidRPr="00B847A2">
          <w:rPr>
            <w:rFonts w:ascii="Tahoma" w:hAnsi="Tahoma" w:cs="Tahoma"/>
            <w:sz w:val="22"/>
            <w:szCs w:val="22"/>
            <w:u w:val="none"/>
          </w:rPr>
          <w:t>http://www.highered.texas.gov/about-us/procurement/</w:t>
        </w:r>
      </w:hyperlink>
    </w:p>
    <w:p w14:paraId="1EDE3E1F" w14:textId="4F01F24B" w:rsidR="0007418C" w:rsidRPr="00B847A2" w:rsidRDefault="0007418C" w:rsidP="007F70CE">
      <w:pPr>
        <w:pStyle w:val="Title"/>
        <w:ind w:left="-90"/>
        <w:jc w:val="left"/>
        <w:rPr>
          <w:rFonts w:ascii="Tahoma" w:hAnsi="Tahoma" w:cs="Tahoma"/>
          <w:sz w:val="22"/>
          <w:szCs w:val="22"/>
          <w:u w:val="none"/>
        </w:rPr>
      </w:pPr>
    </w:p>
    <w:p w14:paraId="18B90895" w14:textId="6C9DBA80" w:rsidR="0007418C" w:rsidRPr="00B847A2" w:rsidRDefault="0007418C" w:rsidP="007F70CE">
      <w:pPr>
        <w:pStyle w:val="Title"/>
        <w:ind w:left="-90"/>
        <w:jc w:val="left"/>
        <w:rPr>
          <w:rFonts w:ascii="Tahoma" w:hAnsi="Tahoma" w:cs="Tahoma"/>
          <w:sz w:val="22"/>
          <w:szCs w:val="22"/>
          <w:u w:val="none"/>
        </w:rPr>
      </w:pPr>
      <w:r w:rsidRPr="00B847A2">
        <w:rPr>
          <w:rFonts w:ascii="Tahoma" w:hAnsi="Tahoma" w:cs="Tahoma"/>
          <w:sz w:val="22"/>
          <w:szCs w:val="22"/>
          <w:u w:val="none"/>
        </w:rPr>
        <w:object w:dxaOrig="9180" w:dyaOrig="11880" w14:anchorId="5D66C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200.2pt" o:ole="">
            <v:imagedata r:id="rId9" o:title=""/>
          </v:shape>
          <o:OLEObject Type="Embed" ProgID="Acrobat.Document.DC" ShapeID="_x0000_i1025" DrawAspect="Content" ObjectID="_1659436188" r:id="rId10"/>
        </w:object>
      </w:r>
    </w:p>
    <w:p w14:paraId="2E8D8D55" w14:textId="2BBDA157" w:rsidR="009E56A5" w:rsidRPr="00B847A2" w:rsidRDefault="004C3AA9" w:rsidP="00DB0122">
      <w:pPr>
        <w:rPr>
          <w:rFonts w:ascii="Tahoma" w:hAnsi="Tahoma" w:cs="Tahoma"/>
          <w:sz w:val="22"/>
          <w:szCs w:val="22"/>
        </w:rPr>
      </w:pPr>
      <w:r w:rsidRPr="00B847A2">
        <w:rPr>
          <w:rFonts w:ascii="Tahoma" w:hAnsi="Tahoma" w:cs="Tahoma"/>
          <w:sz w:val="22"/>
          <w:szCs w:val="22"/>
        </w:rPr>
        <w:t xml:space="preserve">Double </w:t>
      </w:r>
      <w:r w:rsidR="00DB0122" w:rsidRPr="00B847A2">
        <w:rPr>
          <w:rFonts w:ascii="Tahoma" w:hAnsi="Tahoma" w:cs="Tahoma"/>
          <w:sz w:val="22"/>
          <w:szCs w:val="22"/>
        </w:rPr>
        <w:t xml:space="preserve">click to open report. </w:t>
      </w:r>
    </w:p>
    <w:p w14:paraId="61A3EE83" w14:textId="25CC70C0" w:rsidR="00DB0122" w:rsidRPr="00B847A2" w:rsidRDefault="00DB0122" w:rsidP="009E56A5">
      <w:pPr>
        <w:ind w:left="-180"/>
        <w:rPr>
          <w:rFonts w:ascii="Tahoma" w:hAnsi="Tahoma" w:cs="Tahoma"/>
          <w:sz w:val="22"/>
          <w:szCs w:val="22"/>
        </w:rPr>
      </w:pPr>
      <w:r w:rsidRPr="00B847A2">
        <w:rPr>
          <w:rFonts w:ascii="Tahoma" w:hAnsi="Tahoma" w:cs="Tahoma"/>
          <w:sz w:val="22"/>
          <w:szCs w:val="22"/>
        </w:rPr>
        <w:tab/>
        <w:t xml:space="preserve">If document does not open, please email </w:t>
      </w:r>
      <w:hyperlink r:id="rId11" w:history="1">
        <w:r w:rsidRPr="00B847A2">
          <w:rPr>
            <w:rStyle w:val="Hyperlink"/>
            <w:rFonts w:ascii="Tahoma" w:hAnsi="Tahoma" w:cs="Tahoma"/>
            <w:sz w:val="22"/>
            <w:szCs w:val="22"/>
          </w:rPr>
          <w:t>Contacts@highered.texas.gov</w:t>
        </w:r>
      </w:hyperlink>
      <w:r w:rsidRPr="00B847A2">
        <w:rPr>
          <w:rFonts w:ascii="Tahoma" w:hAnsi="Tahoma" w:cs="Tahoma"/>
          <w:sz w:val="22"/>
          <w:szCs w:val="22"/>
        </w:rPr>
        <w:t xml:space="preserve"> to request a copy.</w:t>
      </w:r>
    </w:p>
    <w:p w14:paraId="3A53F6C9" w14:textId="77777777" w:rsidR="00DB0122" w:rsidRPr="00B847A2" w:rsidRDefault="00DB0122" w:rsidP="009E56A5">
      <w:pPr>
        <w:ind w:left="-180"/>
        <w:rPr>
          <w:rFonts w:ascii="Tahoma" w:hAnsi="Tahoma" w:cs="Tahoma"/>
          <w:sz w:val="22"/>
          <w:szCs w:val="22"/>
        </w:rPr>
      </w:pPr>
    </w:p>
    <w:p w14:paraId="4732495A" w14:textId="77777777" w:rsidR="00F94DB7" w:rsidRPr="00B847A2" w:rsidRDefault="00F94DB7" w:rsidP="00F94DB7">
      <w:pPr>
        <w:rPr>
          <w:rFonts w:ascii="Tahoma" w:hAnsi="Tahoma" w:cs="Tahoma"/>
          <w:bCs/>
          <w:sz w:val="22"/>
          <w:szCs w:val="22"/>
        </w:rPr>
      </w:pPr>
      <w:r w:rsidRPr="00B847A2">
        <w:rPr>
          <w:rFonts w:ascii="Tahoma" w:hAnsi="Tahoma" w:cs="Tahoma"/>
          <w:b/>
          <w:bCs/>
          <w:sz w:val="22"/>
          <w:szCs w:val="22"/>
        </w:rPr>
        <w:t>Question 2</w:t>
      </w:r>
      <w:r w:rsidRPr="00B847A2">
        <w:rPr>
          <w:rFonts w:ascii="Tahoma" w:hAnsi="Tahoma" w:cs="Tahoma"/>
          <w:bCs/>
          <w:sz w:val="22"/>
          <w:szCs w:val="22"/>
        </w:rPr>
        <w:t xml:space="preserve">: </w:t>
      </w:r>
      <w:bookmarkStart w:id="0" w:name="_Hlk47620060"/>
    </w:p>
    <w:p w14:paraId="67496DE7" w14:textId="5FD09F56" w:rsidR="00F94DB7" w:rsidRPr="00B847A2" w:rsidRDefault="00F94DB7" w:rsidP="00F94DB7">
      <w:pPr>
        <w:rPr>
          <w:rFonts w:ascii="Tahoma" w:hAnsi="Tahoma" w:cs="Tahoma"/>
          <w:sz w:val="22"/>
          <w:szCs w:val="22"/>
        </w:rPr>
      </w:pPr>
      <w:r w:rsidRPr="00B847A2">
        <w:rPr>
          <w:rFonts w:ascii="Tahoma" w:hAnsi="Tahoma" w:cs="Tahoma"/>
          <w:sz w:val="22"/>
          <w:szCs w:val="22"/>
        </w:rPr>
        <w:t>What has generally been the timing of the fieldwork for the financial audit services?   </w:t>
      </w:r>
      <w:bookmarkEnd w:id="0"/>
    </w:p>
    <w:p w14:paraId="1168D0DA" w14:textId="6B755CC9" w:rsidR="00F94DB7" w:rsidRPr="00B847A2" w:rsidRDefault="00B052A5" w:rsidP="00F94DB7">
      <w:pPr>
        <w:rPr>
          <w:rFonts w:ascii="Tahoma" w:hAnsi="Tahoma" w:cs="Tahoma"/>
          <w:sz w:val="22"/>
          <w:szCs w:val="22"/>
        </w:rPr>
      </w:pPr>
      <w:r w:rsidRPr="00B847A2">
        <w:rPr>
          <w:rFonts w:ascii="Tahoma" w:hAnsi="Tahoma" w:cs="Tahoma"/>
          <w:b/>
          <w:bCs/>
          <w:color w:val="333333"/>
          <w:sz w:val="22"/>
          <w:szCs w:val="22"/>
        </w:rPr>
        <w:t>Response</w:t>
      </w:r>
      <w:r w:rsidR="00F94DB7" w:rsidRPr="00B847A2">
        <w:rPr>
          <w:rFonts w:ascii="Tahoma" w:hAnsi="Tahoma" w:cs="Tahoma"/>
          <w:b/>
          <w:bCs/>
          <w:sz w:val="22"/>
          <w:szCs w:val="22"/>
        </w:rPr>
        <w:t>:</w:t>
      </w:r>
      <w:r w:rsidR="00F94DB7" w:rsidRPr="00B847A2">
        <w:rPr>
          <w:rFonts w:ascii="Tahoma" w:hAnsi="Tahoma" w:cs="Tahoma"/>
          <w:sz w:val="22"/>
          <w:szCs w:val="22"/>
        </w:rPr>
        <w:t xml:space="preserve">  Planning and perhaps some of the IT fieldwork may begin early in the fiscal year. The bulk of fieldwork typically occurs during the March through June timeframe. Also, the financial statement package is not available until approximately February.</w:t>
      </w:r>
    </w:p>
    <w:p w14:paraId="01679259" w14:textId="7D20E8E6" w:rsidR="009E56A5" w:rsidRPr="00B847A2" w:rsidRDefault="009E56A5" w:rsidP="00F94DB7">
      <w:pPr>
        <w:pStyle w:val="Title"/>
        <w:jc w:val="left"/>
        <w:rPr>
          <w:rFonts w:ascii="Tahoma" w:hAnsi="Tahoma" w:cs="Tahoma"/>
          <w:sz w:val="22"/>
          <w:szCs w:val="22"/>
        </w:rPr>
      </w:pPr>
    </w:p>
    <w:p w14:paraId="1FC8021C" w14:textId="389B4851" w:rsidR="00F94DB7" w:rsidRPr="00B847A2" w:rsidRDefault="00F94DB7" w:rsidP="00F94DB7">
      <w:pPr>
        <w:rPr>
          <w:rFonts w:ascii="Tahoma" w:hAnsi="Tahoma" w:cs="Tahoma"/>
          <w:bCs/>
          <w:sz w:val="22"/>
          <w:szCs w:val="22"/>
        </w:rPr>
      </w:pPr>
      <w:r w:rsidRPr="00B847A2">
        <w:rPr>
          <w:rFonts w:ascii="Tahoma" w:hAnsi="Tahoma" w:cs="Tahoma"/>
          <w:b/>
          <w:bCs/>
          <w:sz w:val="22"/>
          <w:szCs w:val="22"/>
        </w:rPr>
        <w:t>Question 3</w:t>
      </w:r>
      <w:r w:rsidRPr="00B847A2">
        <w:rPr>
          <w:rFonts w:ascii="Tahoma" w:hAnsi="Tahoma" w:cs="Tahoma"/>
          <w:bCs/>
          <w:sz w:val="22"/>
          <w:szCs w:val="22"/>
        </w:rPr>
        <w:t xml:space="preserve">: </w:t>
      </w:r>
    </w:p>
    <w:p w14:paraId="1E83CEF0" w14:textId="04515DCE" w:rsidR="00F94DB7" w:rsidRPr="00B847A2" w:rsidRDefault="00F94DB7" w:rsidP="00F94DB7">
      <w:pPr>
        <w:rPr>
          <w:rFonts w:ascii="Tahoma" w:hAnsi="Tahoma" w:cs="Tahoma"/>
          <w:sz w:val="22"/>
          <w:szCs w:val="22"/>
        </w:rPr>
      </w:pPr>
      <w:r w:rsidRPr="00B847A2">
        <w:rPr>
          <w:rFonts w:ascii="Tahoma" w:hAnsi="Tahoma" w:cs="Tahoma"/>
          <w:sz w:val="22"/>
          <w:szCs w:val="22"/>
        </w:rPr>
        <w:t>Have there been any changes in key management personnel in the last 2 years?</w:t>
      </w:r>
    </w:p>
    <w:p w14:paraId="6E79B9C4" w14:textId="7180FF6D" w:rsidR="00F94DB7" w:rsidRPr="00B847A2" w:rsidRDefault="00B052A5" w:rsidP="00F94DB7">
      <w:pPr>
        <w:rPr>
          <w:rFonts w:ascii="Tahoma" w:hAnsi="Tahoma" w:cs="Tahoma"/>
          <w:sz w:val="22"/>
          <w:szCs w:val="22"/>
        </w:rPr>
      </w:pPr>
      <w:r w:rsidRPr="00B847A2">
        <w:rPr>
          <w:rFonts w:ascii="Tahoma" w:hAnsi="Tahoma" w:cs="Tahoma"/>
          <w:b/>
          <w:bCs/>
          <w:color w:val="333333"/>
          <w:sz w:val="22"/>
          <w:szCs w:val="22"/>
        </w:rPr>
        <w:t>Response</w:t>
      </w:r>
      <w:r w:rsidR="00F94DB7" w:rsidRPr="00B847A2">
        <w:rPr>
          <w:rFonts w:ascii="Tahoma" w:hAnsi="Tahoma" w:cs="Tahoma"/>
          <w:b/>
          <w:bCs/>
          <w:sz w:val="22"/>
          <w:szCs w:val="22"/>
        </w:rPr>
        <w:t>:</w:t>
      </w:r>
      <w:r w:rsidR="00F94DB7" w:rsidRPr="00B847A2">
        <w:rPr>
          <w:rFonts w:ascii="Tahoma" w:hAnsi="Tahoma" w:cs="Tahoma"/>
          <w:sz w:val="22"/>
          <w:szCs w:val="22"/>
        </w:rPr>
        <w:t xml:space="preserve">  Yes.  We have the following new members of our leadership team:</w:t>
      </w:r>
    </w:p>
    <w:p w14:paraId="4ED88771"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t>Dr. Harrison Keller, Commissioner</w:t>
      </w:r>
    </w:p>
    <w:p w14:paraId="63D0E1F9"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t>Mr. Rey Rodriguez, Deputy Commissioner and Chief of Staff</w:t>
      </w:r>
    </w:p>
    <w:p w14:paraId="5F7A0B2F"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t>Ms. Nicole Bunker-Henderson, General Counsel</w:t>
      </w:r>
    </w:p>
    <w:p w14:paraId="680C0255"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t>Mr. Ray Martinez, Deputy Commissioner of Academic Affairs and Workforce Education</w:t>
      </w:r>
    </w:p>
    <w:p w14:paraId="2FC2652D"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lastRenderedPageBreak/>
        <w:t>Ms. Lori Fey, Deputy Commissioner of Data Analytics and Innovation</w:t>
      </w:r>
    </w:p>
    <w:p w14:paraId="4FB03136"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t>Ms. Melissa Henderson, Associate Commissioner of Development</w:t>
      </w:r>
    </w:p>
    <w:p w14:paraId="7D6607F7" w14:textId="69A7349F" w:rsidR="009E56A5" w:rsidRPr="00B847A2" w:rsidRDefault="009E56A5" w:rsidP="00F94DB7">
      <w:pPr>
        <w:ind w:left="-720"/>
        <w:rPr>
          <w:rFonts w:ascii="Tahoma" w:hAnsi="Tahoma" w:cs="Tahoma"/>
          <w:sz w:val="22"/>
          <w:szCs w:val="22"/>
        </w:rPr>
      </w:pPr>
    </w:p>
    <w:p w14:paraId="48EA67D9" w14:textId="5E6394E1" w:rsidR="00F94DB7" w:rsidRPr="00B847A2" w:rsidRDefault="00F94DB7" w:rsidP="00F94DB7">
      <w:pPr>
        <w:rPr>
          <w:rFonts w:ascii="Tahoma" w:hAnsi="Tahoma" w:cs="Tahoma"/>
          <w:bCs/>
          <w:sz w:val="22"/>
          <w:szCs w:val="22"/>
        </w:rPr>
      </w:pPr>
      <w:r w:rsidRPr="00B847A2">
        <w:rPr>
          <w:rFonts w:ascii="Tahoma" w:hAnsi="Tahoma" w:cs="Tahoma"/>
          <w:b/>
          <w:bCs/>
          <w:sz w:val="22"/>
          <w:szCs w:val="22"/>
        </w:rPr>
        <w:t>Question 4</w:t>
      </w:r>
      <w:r w:rsidRPr="00B847A2">
        <w:rPr>
          <w:rFonts w:ascii="Tahoma" w:hAnsi="Tahoma" w:cs="Tahoma"/>
          <w:bCs/>
          <w:sz w:val="22"/>
          <w:szCs w:val="22"/>
        </w:rPr>
        <w:t xml:space="preserve">: </w:t>
      </w:r>
    </w:p>
    <w:p w14:paraId="77A1D518" w14:textId="77777777" w:rsidR="00F94DB7" w:rsidRPr="00B847A2" w:rsidRDefault="00F94DB7" w:rsidP="00F94DB7">
      <w:pPr>
        <w:rPr>
          <w:rFonts w:ascii="Tahoma" w:hAnsi="Tahoma" w:cs="Tahoma"/>
          <w:color w:val="333333"/>
          <w:sz w:val="22"/>
          <w:szCs w:val="22"/>
        </w:rPr>
      </w:pPr>
      <w:r w:rsidRPr="00B847A2">
        <w:rPr>
          <w:rFonts w:ascii="Tahoma" w:hAnsi="Tahoma" w:cs="Tahoma"/>
          <w:color w:val="333333"/>
          <w:sz w:val="22"/>
          <w:szCs w:val="22"/>
        </w:rPr>
        <w:t xml:space="preserve">Have there been any changes in major IT systems in the last 2 years? </w:t>
      </w:r>
    </w:p>
    <w:p w14:paraId="5422AC39" w14:textId="5724E91A" w:rsidR="00F94DB7" w:rsidRPr="00B847A2" w:rsidRDefault="00B052A5" w:rsidP="00F94DB7">
      <w:pPr>
        <w:rPr>
          <w:rFonts w:ascii="Tahoma" w:hAnsi="Tahoma" w:cs="Tahoma"/>
          <w:color w:val="333333"/>
          <w:sz w:val="22"/>
          <w:szCs w:val="22"/>
        </w:rPr>
      </w:pPr>
      <w:r w:rsidRPr="00B847A2">
        <w:rPr>
          <w:rFonts w:ascii="Tahoma" w:hAnsi="Tahoma" w:cs="Tahoma"/>
          <w:b/>
          <w:bCs/>
          <w:color w:val="333333"/>
          <w:sz w:val="22"/>
          <w:szCs w:val="22"/>
        </w:rPr>
        <w:t>Response</w:t>
      </w:r>
      <w:r w:rsidR="00F94DB7" w:rsidRPr="00B847A2">
        <w:rPr>
          <w:rFonts w:ascii="Tahoma" w:hAnsi="Tahoma" w:cs="Tahoma"/>
          <w:b/>
          <w:bCs/>
          <w:color w:val="333333"/>
          <w:sz w:val="22"/>
          <w:szCs w:val="22"/>
        </w:rPr>
        <w:t>:</w:t>
      </w:r>
      <w:r w:rsidR="00F94DB7" w:rsidRPr="00B847A2">
        <w:rPr>
          <w:rFonts w:ascii="Tahoma" w:hAnsi="Tahoma" w:cs="Tahoma"/>
          <w:color w:val="333333"/>
          <w:sz w:val="22"/>
          <w:szCs w:val="22"/>
        </w:rPr>
        <w:t xml:space="preserve">  None.</w:t>
      </w:r>
    </w:p>
    <w:p w14:paraId="6A959E37" w14:textId="7048E0BD" w:rsidR="00EF4794" w:rsidRPr="00B847A2" w:rsidRDefault="00EF4794" w:rsidP="00F94DB7">
      <w:pPr>
        <w:rPr>
          <w:rFonts w:ascii="Tahoma" w:hAnsi="Tahoma" w:cs="Tahoma"/>
          <w:b/>
          <w:sz w:val="22"/>
          <w:szCs w:val="22"/>
        </w:rPr>
      </w:pPr>
    </w:p>
    <w:p w14:paraId="6253F04C" w14:textId="0F2E1D4D" w:rsidR="00F94DB7" w:rsidRPr="00B847A2" w:rsidRDefault="00F94DB7" w:rsidP="00F94DB7">
      <w:pPr>
        <w:rPr>
          <w:rFonts w:ascii="Tahoma" w:hAnsi="Tahoma" w:cs="Tahoma"/>
          <w:bCs/>
          <w:sz w:val="22"/>
          <w:szCs w:val="22"/>
        </w:rPr>
      </w:pPr>
      <w:r w:rsidRPr="00B847A2">
        <w:rPr>
          <w:rFonts w:ascii="Tahoma" w:hAnsi="Tahoma" w:cs="Tahoma"/>
          <w:b/>
          <w:bCs/>
          <w:sz w:val="22"/>
          <w:szCs w:val="22"/>
        </w:rPr>
        <w:t>Question 5</w:t>
      </w:r>
      <w:r w:rsidRPr="00B847A2">
        <w:rPr>
          <w:rFonts w:ascii="Tahoma" w:hAnsi="Tahoma" w:cs="Tahoma"/>
          <w:bCs/>
          <w:sz w:val="22"/>
          <w:szCs w:val="22"/>
        </w:rPr>
        <w:t xml:space="preserve">: </w:t>
      </w:r>
    </w:p>
    <w:p w14:paraId="483A10C7" w14:textId="77777777" w:rsidR="00F94DB7" w:rsidRPr="00B847A2" w:rsidRDefault="00F94DB7" w:rsidP="00F94DB7">
      <w:pPr>
        <w:rPr>
          <w:rFonts w:ascii="Tahoma" w:hAnsi="Tahoma" w:cs="Tahoma"/>
          <w:color w:val="333333"/>
          <w:sz w:val="22"/>
          <w:szCs w:val="22"/>
        </w:rPr>
      </w:pPr>
      <w:r w:rsidRPr="00B847A2">
        <w:rPr>
          <w:rFonts w:ascii="Tahoma" w:hAnsi="Tahoma" w:cs="Tahoma"/>
          <w:color w:val="333333"/>
          <w:sz w:val="22"/>
          <w:szCs w:val="22"/>
        </w:rPr>
        <w:t>Were there any management letters or significant audit adjustments in the last 2 years?</w:t>
      </w:r>
    </w:p>
    <w:p w14:paraId="2D390BAC" w14:textId="183969D4" w:rsidR="00F94DB7" w:rsidRPr="00B847A2" w:rsidRDefault="00B052A5" w:rsidP="00F94DB7">
      <w:pPr>
        <w:rPr>
          <w:rFonts w:ascii="Tahoma" w:hAnsi="Tahoma" w:cs="Tahoma"/>
          <w:b/>
          <w:bCs/>
          <w:i/>
          <w:iCs/>
          <w:color w:val="333333"/>
          <w:sz w:val="22"/>
          <w:szCs w:val="22"/>
        </w:rPr>
      </w:pPr>
      <w:r w:rsidRPr="00B847A2">
        <w:rPr>
          <w:rFonts w:ascii="Tahoma" w:hAnsi="Tahoma" w:cs="Tahoma"/>
          <w:b/>
          <w:bCs/>
          <w:color w:val="333333"/>
          <w:sz w:val="22"/>
          <w:szCs w:val="22"/>
        </w:rPr>
        <w:t>Response</w:t>
      </w:r>
      <w:r w:rsidR="00F94DB7" w:rsidRPr="00B847A2">
        <w:rPr>
          <w:rFonts w:ascii="Tahoma" w:hAnsi="Tahoma" w:cs="Tahoma"/>
          <w:b/>
          <w:bCs/>
          <w:sz w:val="22"/>
          <w:szCs w:val="22"/>
        </w:rPr>
        <w:t>:</w:t>
      </w:r>
      <w:r w:rsidR="00F94DB7" w:rsidRPr="00B847A2">
        <w:rPr>
          <w:rFonts w:ascii="Tahoma" w:hAnsi="Tahoma" w:cs="Tahoma"/>
          <w:sz w:val="22"/>
          <w:szCs w:val="22"/>
        </w:rPr>
        <w:t xml:space="preserve">  </w:t>
      </w:r>
      <w:r w:rsidR="00F94DB7" w:rsidRPr="00B847A2">
        <w:rPr>
          <w:rFonts w:ascii="Tahoma" w:hAnsi="Tahoma" w:cs="Tahoma"/>
          <w:color w:val="333333"/>
          <w:sz w:val="22"/>
          <w:szCs w:val="22"/>
        </w:rPr>
        <w:t>None.</w:t>
      </w:r>
    </w:p>
    <w:p w14:paraId="08E382B2" w14:textId="56CF840C" w:rsidR="009E2029" w:rsidRPr="00B847A2" w:rsidRDefault="009E2029" w:rsidP="009E2029">
      <w:pPr>
        <w:rPr>
          <w:rFonts w:ascii="Tahoma" w:hAnsi="Tahoma" w:cs="Tahoma"/>
          <w:sz w:val="22"/>
          <w:szCs w:val="22"/>
        </w:rPr>
      </w:pPr>
    </w:p>
    <w:p w14:paraId="77926F7F" w14:textId="02D0CD46" w:rsidR="00E71780" w:rsidRPr="00B847A2" w:rsidRDefault="00E71780" w:rsidP="00E71780">
      <w:pPr>
        <w:rPr>
          <w:rFonts w:ascii="Tahoma" w:hAnsi="Tahoma" w:cs="Tahoma"/>
          <w:bCs/>
          <w:sz w:val="22"/>
          <w:szCs w:val="22"/>
        </w:rPr>
      </w:pPr>
      <w:r w:rsidRPr="00B847A2">
        <w:rPr>
          <w:rFonts w:ascii="Tahoma" w:hAnsi="Tahoma" w:cs="Tahoma"/>
          <w:b/>
          <w:bCs/>
          <w:sz w:val="22"/>
          <w:szCs w:val="22"/>
        </w:rPr>
        <w:t>Question 6</w:t>
      </w:r>
      <w:r w:rsidRPr="00B847A2">
        <w:rPr>
          <w:rFonts w:ascii="Tahoma" w:hAnsi="Tahoma" w:cs="Tahoma"/>
          <w:bCs/>
          <w:sz w:val="22"/>
          <w:szCs w:val="22"/>
        </w:rPr>
        <w:t xml:space="preserve">: </w:t>
      </w:r>
    </w:p>
    <w:p w14:paraId="72803EF5" w14:textId="77777777" w:rsidR="00E71780" w:rsidRPr="00B847A2" w:rsidRDefault="00E71780" w:rsidP="00E71780">
      <w:pPr>
        <w:rPr>
          <w:rFonts w:ascii="Tahoma" w:hAnsi="Tahoma" w:cs="Tahoma"/>
          <w:color w:val="333333"/>
          <w:sz w:val="22"/>
          <w:szCs w:val="22"/>
        </w:rPr>
      </w:pPr>
      <w:r w:rsidRPr="00B847A2">
        <w:rPr>
          <w:rFonts w:ascii="Tahoma" w:hAnsi="Tahoma" w:cs="Tahoma"/>
          <w:color w:val="333333"/>
          <w:sz w:val="22"/>
          <w:szCs w:val="22"/>
        </w:rPr>
        <w:t>Can you disclose the audit fees for the financial audit services for the past year?</w:t>
      </w:r>
    </w:p>
    <w:p w14:paraId="77CC656A" w14:textId="49B379CD" w:rsidR="00E71780" w:rsidRPr="00B847A2" w:rsidRDefault="00B052A5" w:rsidP="00E71780">
      <w:pPr>
        <w:pStyle w:val="Default"/>
        <w:rPr>
          <w:color w:val="333333"/>
          <w:sz w:val="22"/>
          <w:szCs w:val="22"/>
        </w:rPr>
      </w:pPr>
      <w:r w:rsidRPr="00B847A2">
        <w:rPr>
          <w:b/>
          <w:bCs/>
          <w:color w:val="333333"/>
          <w:sz w:val="22"/>
          <w:szCs w:val="22"/>
        </w:rPr>
        <w:t>Response</w:t>
      </w:r>
      <w:r w:rsidR="00E71780" w:rsidRPr="00B847A2">
        <w:rPr>
          <w:b/>
          <w:bCs/>
          <w:color w:val="333333"/>
          <w:sz w:val="22"/>
          <w:szCs w:val="22"/>
        </w:rPr>
        <w:t>:</w:t>
      </w:r>
      <w:r w:rsidR="00E71780" w:rsidRPr="00B847A2">
        <w:rPr>
          <w:color w:val="333333"/>
          <w:sz w:val="22"/>
          <w:szCs w:val="22"/>
        </w:rPr>
        <w:t xml:space="preserve">  Yes.  The current contract to conduct an agency-wide financial statement audit for fiscal year ended August 31, 2019 was executed with KPMG for a fixed fee of $199,200. (THECB Agency Operations Committee meeting July 22, 2020, Agenda Item VI-A)</w:t>
      </w:r>
    </w:p>
    <w:p w14:paraId="7760C8CB" w14:textId="775B92A8" w:rsidR="00E71780" w:rsidRPr="00B847A2" w:rsidRDefault="00E71780" w:rsidP="00E71780">
      <w:pPr>
        <w:rPr>
          <w:rFonts w:ascii="Tahoma" w:hAnsi="Tahoma" w:cs="Tahoma"/>
          <w:b/>
          <w:bCs/>
          <w:i/>
          <w:iCs/>
          <w:color w:val="333333"/>
          <w:sz w:val="22"/>
          <w:szCs w:val="22"/>
        </w:rPr>
      </w:pPr>
    </w:p>
    <w:p w14:paraId="4E73649F" w14:textId="77777777" w:rsidR="00E71780" w:rsidRPr="00B847A2" w:rsidRDefault="00E71780" w:rsidP="00E71780">
      <w:pPr>
        <w:rPr>
          <w:rFonts w:ascii="Tahoma" w:hAnsi="Tahoma" w:cs="Tahoma"/>
          <w:bCs/>
          <w:sz w:val="22"/>
          <w:szCs w:val="22"/>
        </w:rPr>
      </w:pPr>
      <w:r w:rsidRPr="00B847A2">
        <w:rPr>
          <w:rFonts w:ascii="Tahoma" w:hAnsi="Tahoma" w:cs="Tahoma"/>
          <w:b/>
          <w:bCs/>
          <w:sz w:val="22"/>
          <w:szCs w:val="22"/>
        </w:rPr>
        <w:t>Question 7</w:t>
      </w:r>
      <w:r w:rsidRPr="00B847A2">
        <w:rPr>
          <w:rFonts w:ascii="Tahoma" w:hAnsi="Tahoma" w:cs="Tahoma"/>
          <w:bCs/>
          <w:sz w:val="22"/>
          <w:szCs w:val="22"/>
        </w:rPr>
        <w:t>:</w:t>
      </w:r>
    </w:p>
    <w:p w14:paraId="70994A1D" w14:textId="6976D1A4" w:rsidR="00E71780" w:rsidRPr="00B847A2" w:rsidRDefault="00E71780" w:rsidP="00E71780">
      <w:pPr>
        <w:rPr>
          <w:rFonts w:ascii="Tahoma" w:hAnsi="Tahoma" w:cs="Tahoma"/>
          <w:color w:val="333333"/>
          <w:sz w:val="22"/>
          <w:szCs w:val="22"/>
        </w:rPr>
      </w:pPr>
      <w:r w:rsidRPr="00B847A2">
        <w:rPr>
          <w:rFonts w:ascii="Tahoma" w:hAnsi="Tahoma" w:cs="Tahoma"/>
          <w:color w:val="333333"/>
          <w:sz w:val="22"/>
          <w:szCs w:val="22"/>
        </w:rPr>
        <w:t xml:space="preserve">Have you received or do you anticipate receiving and spending funding related to the COVID-19 pandemic in fiscal year 2020 or 2021? </w:t>
      </w:r>
    </w:p>
    <w:p w14:paraId="0A1879AA" w14:textId="0DF6166B" w:rsidR="00E71780" w:rsidRPr="00B847A2" w:rsidRDefault="00B052A5" w:rsidP="00E71780">
      <w:pPr>
        <w:pStyle w:val="ListParagraph"/>
        <w:ind w:left="0"/>
        <w:rPr>
          <w:rFonts w:ascii="Tahoma" w:eastAsia="Times New Roman" w:hAnsi="Tahoma" w:cs="Tahoma"/>
          <w:color w:val="333333"/>
        </w:rPr>
      </w:pPr>
      <w:r w:rsidRPr="00B847A2">
        <w:rPr>
          <w:rFonts w:ascii="Tahoma" w:hAnsi="Tahoma" w:cs="Tahoma"/>
          <w:b/>
          <w:bCs/>
          <w:color w:val="333333"/>
        </w:rPr>
        <w:t>Response</w:t>
      </w:r>
      <w:r w:rsidR="00E71780" w:rsidRPr="00B847A2">
        <w:rPr>
          <w:rFonts w:ascii="Tahoma" w:hAnsi="Tahoma" w:cs="Tahoma"/>
          <w:b/>
          <w:bCs/>
          <w:color w:val="333333"/>
        </w:rPr>
        <w:t>:</w:t>
      </w:r>
      <w:r w:rsidR="00E71780" w:rsidRPr="00B847A2">
        <w:rPr>
          <w:rFonts w:ascii="Tahoma" w:hAnsi="Tahoma" w:cs="Tahoma"/>
          <w:color w:val="333333"/>
        </w:rPr>
        <w:t xml:space="preserve">  </w:t>
      </w:r>
      <w:r w:rsidR="00E71780" w:rsidRPr="00B847A2">
        <w:rPr>
          <w:rFonts w:ascii="Tahoma" w:eastAsia="Times New Roman" w:hAnsi="Tahoma" w:cs="Tahoma"/>
          <w:color w:val="333333"/>
        </w:rPr>
        <w:t xml:space="preserve">Yes.  During the week of July 10, 2020, Governor Abbott announced </w:t>
      </w:r>
      <w:hyperlink r:id="rId12" w:history="1">
        <w:r w:rsidR="00E71780" w:rsidRPr="00B847A2">
          <w:rPr>
            <w:rFonts w:ascii="Tahoma" w:eastAsia="Times New Roman" w:hAnsi="Tahoma" w:cs="Tahoma"/>
            <w:color w:val="333333"/>
          </w:rPr>
          <w:t>Texas will invest $57 million</w:t>
        </w:r>
      </w:hyperlink>
      <w:r w:rsidR="00E71780" w:rsidRPr="00B847A2">
        <w:rPr>
          <w:rFonts w:ascii="Tahoma" w:eastAsia="Times New Roman" w:hAnsi="Tahoma" w:cs="Tahoma"/>
          <w:color w:val="333333"/>
        </w:rPr>
        <w:t> in federal funds to maintain the state’s need-based financial aid programs, including TEXAS Grants, Texas Educational Opportunity Grants, and Tuition Equalization Grants, to help keep more students enrolled at their colleges and universities.</w:t>
      </w:r>
    </w:p>
    <w:p w14:paraId="680037BC" w14:textId="77777777" w:rsidR="00E71780" w:rsidRPr="00B847A2" w:rsidRDefault="00E71780" w:rsidP="00E71780">
      <w:pPr>
        <w:pStyle w:val="NormalWeb"/>
        <w:spacing w:before="0" w:beforeAutospacing="0" w:after="0" w:afterAutospacing="0"/>
        <w:rPr>
          <w:rFonts w:ascii="Tahoma" w:eastAsia="Times New Roman" w:hAnsi="Tahoma" w:cs="Tahoma"/>
          <w:color w:val="333333"/>
        </w:rPr>
      </w:pPr>
    </w:p>
    <w:p w14:paraId="6B67245A" w14:textId="77777777" w:rsidR="00E71780" w:rsidRPr="00B847A2" w:rsidRDefault="00E71780" w:rsidP="00E71780">
      <w:pPr>
        <w:pStyle w:val="NormalWeb"/>
        <w:spacing w:before="0" w:beforeAutospacing="0" w:after="0" w:afterAutospacing="0"/>
        <w:rPr>
          <w:rFonts w:ascii="Tahoma" w:eastAsia="Times New Roman" w:hAnsi="Tahoma" w:cs="Tahoma"/>
          <w:color w:val="333333"/>
        </w:rPr>
      </w:pPr>
      <w:r w:rsidRPr="00B847A2">
        <w:rPr>
          <w:rFonts w:ascii="Tahoma" w:eastAsia="Times New Roman" w:hAnsi="Tahoma" w:cs="Tahoma"/>
          <w:color w:val="333333"/>
        </w:rPr>
        <w:t>Also, during the week of July 24, Governor Abbott and the legislative leadership </w:t>
      </w:r>
      <w:hyperlink r:id="rId13" w:history="1">
        <w:r w:rsidRPr="00B847A2">
          <w:rPr>
            <w:rFonts w:ascii="Tahoma" w:eastAsia="Times New Roman" w:hAnsi="Tahoma" w:cs="Tahoma"/>
            <w:color w:val="333333"/>
          </w:rPr>
          <w:t>announced</w:t>
        </w:r>
      </w:hyperlink>
      <w:r w:rsidRPr="00B847A2">
        <w:rPr>
          <w:rFonts w:ascii="Tahoma" w:eastAsia="Times New Roman" w:hAnsi="Tahoma" w:cs="Tahoma"/>
          <w:color w:val="333333"/>
        </w:rPr>
        <w:t> an additional $118 million in federal funding to support Texas higher education, including $93 million in financial aid to help students continue or restart their progress toward earning a postsecondary credential of value. </w:t>
      </w:r>
    </w:p>
    <w:p w14:paraId="3DE543A6" w14:textId="77777777" w:rsidR="006F4CD4" w:rsidRPr="00B847A2" w:rsidRDefault="006F4CD4" w:rsidP="001019D5">
      <w:pPr>
        <w:pStyle w:val="Title"/>
        <w:ind w:left="-90"/>
        <w:jc w:val="left"/>
        <w:rPr>
          <w:rFonts w:ascii="Tahoma" w:hAnsi="Tahoma" w:cs="Tahoma"/>
          <w:b/>
          <w:bCs/>
          <w:sz w:val="22"/>
          <w:szCs w:val="22"/>
          <w:u w:val="none"/>
          <w:lang w:val="en"/>
        </w:rPr>
      </w:pPr>
    </w:p>
    <w:p w14:paraId="4EFCAF7B" w14:textId="3C7B8DD0" w:rsidR="00411287" w:rsidRPr="00B847A2" w:rsidRDefault="00411287" w:rsidP="00411287">
      <w:pPr>
        <w:rPr>
          <w:rFonts w:ascii="Tahoma" w:hAnsi="Tahoma" w:cs="Tahoma"/>
          <w:bCs/>
          <w:sz w:val="22"/>
          <w:szCs w:val="22"/>
        </w:rPr>
      </w:pPr>
      <w:r w:rsidRPr="00B847A2">
        <w:rPr>
          <w:rFonts w:ascii="Tahoma" w:hAnsi="Tahoma" w:cs="Tahoma"/>
          <w:b/>
          <w:bCs/>
          <w:sz w:val="22"/>
          <w:szCs w:val="22"/>
        </w:rPr>
        <w:t>Question 8</w:t>
      </w:r>
      <w:r w:rsidRPr="00B847A2">
        <w:rPr>
          <w:rFonts w:ascii="Tahoma" w:hAnsi="Tahoma" w:cs="Tahoma"/>
          <w:bCs/>
          <w:sz w:val="22"/>
          <w:szCs w:val="22"/>
        </w:rPr>
        <w:t>:</w:t>
      </w:r>
    </w:p>
    <w:p w14:paraId="169D2F6F" w14:textId="463EFD1B" w:rsidR="00411287" w:rsidRPr="00B847A2" w:rsidRDefault="00411287" w:rsidP="00411287">
      <w:pPr>
        <w:rPr>
          <w:rFonts w:ascii="Tahoma" w:hAnsi="Tahoma" w:cs="Tahoma"/>
          <w:color w:val="333333"/>
          <w:sz w:val="22"/>
          <w:szCs w:val="22"/>
        </w:rPr>
      </w:pPr>
      <w:r w:rsidRPr="00B847A2">
        <w:rPr>
          <w:rFonts w:ascii="Tahoma" w:hAnsi="Tahoma" w:cs="Tahoma"/>
          <w:color w:val="333333"/>
          <w:sz w:val="22"/>
          <w:szCs w:val="22"/>
        </w:rPr>
        <w:t>Does management draft their own financial statements?</w:t>
      </w:r>
    </w:p>
    <w:p w14:paraId="6C22AB89" w14:textId="39AC9B09" w:rsidR="00411287" w:rsidRPr="00B847A2" w:rsidRDefault="00B052A5" w:rsidP="00411287">
      <w:pPr>
        <w:rPr>
          <w:rFonts w:ascii="Tahoma" w:hAnsi="Tahoma" w:cs="Tahoma"/>
          <w:color w:val="333333"/>
          <w:sz w:val="22"/>
          <w:szCs w:val="22"/>
        </w:rPr>
      </w:pPr>
      <w:r w:rsidRPr="00B847A2">
        <w:rPr>
          <w:rFonts w:ascii="Tahoma" w:hAnsi="Tahoma" w:cs="Tahoma"/>
          <w:b/>
          <w:bCs/>
          <w:color w:val="333333"/>
          <w:sz w:val="22"/>
          <w:szCs w:val="22"/>
        </w:rPr>
        <w:t>Response</w:t>
      </w:r>
      <w:r w:rsidR="00411287" w:rsidRPr="00B847A2">
        <w:rPr>
          <w:rFonts w:ascii="Tahoma" w:hAnsi="Tahoma" w:cs="Tahoma"/>
          <w:b/>
          <w:bCs/>
          <w:color w:val="333333"/>
          <w:sz w:val="22"/>
          <w:szCs w:val="22"/>
        </w:rPr>
        <w:t>:</w:t>
      </w:r>
      <w:r w:rsidR="00411287" w:rsidRPr="00B847A2">
        <w:rPr>
          <w:rFonts w:ascii="Tahoma" w:hAnsi="Tahoma" w:cs="Tahoma"/>
          <w:color w:val="333333"/>
          <w:sz w:val="22"/>
          <w:szCs w:val="22"/>
        </w:rPr>
        <w:t xml:space="preserve"> The Deputy Commissioner for Financial Services/CFO is responsible for oversight of this activity.</w:t>
      </w:r>
    </w:p>
    <w:p w14:paraId="7980D577" w14:textId="091B960B" w:rsidR="00411287" w:rsidRPr="00B847A2" w:rsidRDefault="00411287" w:rsidP="00411287">
      <w:pPr>
        <w:rPr>
          <w:rFonts w:ascii="Tahoma" w:hAnsi="Tahoma" w:cs="Tahoma"/>
          <w:color w:val="333333"/>
          <w:sz w:val="22"/>
          <w:szCs w:val="22"/>
        </w:rPr>
      </w:pPr>
    </w:p>
    <w:p w14:paraId="111622DE" w14:textId="2DCB2A43" w:rsidR="00411287" w:rsidRPr="00B847A2" w:rsidRDefault="00411287" w:rsidP="00411287">
      <w:pPr>
        <w:rPr>
          <w:rFonts w:ascii="Tahoma" w:hAnsi="Tahoma" w:cs="Tahoma"/>
          <w:bCs/>
          <w:sz w:val="22"/>
          <w:szCs w:val="22"/>
        </w:rPr>
      </w:pPr>
      <w:r w:rsidRPr="00B847A2">
        <w:rPr>
          <w:rFonts w:ascii="Tahoma" w:hAnsi="Tahoma" w:cs="Tahoma"/>
          <w:b/>
          <w:bCs/>
          <w:sz w:val="22"/>
          <w:szCs w:val="22"/>
        </w:rPr>
        <w:t>Question 9</w:t>
      </w:r>
      <w:r w:rsidRPr="00B847A2">
        <w:rPr>
          <w:rFonts w:ascii="Tahoma" w:hAnsi="Tahoma" w:cs="Tahoma"/>
          <w:bCs/>
          <w:sz w:val="22"/>
          <w:szCs w:val="22"/>
        </w:rPr>
        <w:t>:</w:t>
      </w:r>
    </w:p>
    <w:p w14:paraId="0C845491" w14:textId="77777777" w:rsidR="00411287" w:rsidRPr="00B847A2" w:rsidRDefault="00411287" w:rsidP="00411287">
      <w:pPr>
        <w:rPr>
          <w:rFonts w:ascii="Tahoma" w:hAnsi="Tahoma" w:cs="Tahoma"/>
          <w:color w:val="333333"/>
          <w:sz w:val="22"/>
          <w:szCs w:val="22"/>
        </w:rPr>
      </w:pPr>
      <w:r w:rsidRPr="00B847A2">
        <w:rPr>
          <w:rFonts w:ascii="Tahoma" w:hAnsi="Tahoma" w:cs="Tahoma"/>
          <w:color w:val="333333"/>
          <w:sz w:val="22"/>
          <w:szCs w:val="22"/>
        </w:rPr>
        <w:t xml:space="preserve">a.) Is there to be a single audit under this RFQ as well? b.) If not, what is the timing of the single audit finding results and c.) Will the financial statement auditor have access to those results before significant fieldwork for the financial statement audit?  </w:t>
      </w:r>
    </w:p>
    <w:p w14:paraId="66210D73" w14:textId="3B8C35AE" w:rsidR="00411287" w:rsidRPr="00B847A2" w:rsidRDefault="00411287" w:rsidP="00411287">
      <w:pPr>
        <w:rPr>
          <w:rFonts w:ascii="Tahoma" w:hAnsi="Tahoma" w:cs="Tahoma"/>
          <w:bCs/>
          <w:sz w:val="22"/>
          <w:szCs w:val="22"/>
        </w:rPr>
      </w:pPr>
      <w:r w:rsidRPr="00B847A2">
        <w:rPr>
          <w:rFonts w:ascii="Tahoma" w:hAnsi="Tahoma" w:cs="Tahoma"/>
          <w:bCs/>
          <w:sz w:val="22"/>
          <w:szCs w:val="22"/>
        </w:rPr>
        <w:t>Answer:</w:t>
      </w:r>
    </w:p>
    <w:p w14:paraId="4D23C1BB" w14:textId="26D65071" w:rsidR="00411287" w:rsidRPr="00B847A2" w:rsidRDefault="00411287" w:rsidP="00411287">
      <w:pPr>
        <w:ind w:firstLine="720"/>
        <w:rPr>
          <w:rFonts w:ascii="Tahoma" w:hAnsi="Tahoma" w:cs="Tahoma"/>
          <w:color w:val="000000"/>
          <w:sz w:val="22"/>
          <w:szCs w:val="22"/>
          <w:shd w:val="clear" w:color="auto" w:fill="FFFFFF"/>
        </w:rPr>
      </w:pPr>
      <w:r w:rsidRPr="00B847A2">
        <w:rPr>
          <w:rFonts w:ascii="Tahoma" w:hAnsi="Tahoma" w:cs="Tahoma"/>
          <w:color w:val="000000"/>
          <w:sz w:val="22"/>
          <w:szCs w:val="22"/>
          <w:shd w:val="clear" w:color="auto" w:fill="FFFFFF"/>
        </w:rPr>
        <w:t xml:space="preserve">a.) No.  </w:t>
      </w:r>
    </w:p>
    <w:p w14:paraId="6FCC0C6E" w14:textId="77777777" w:rsidR="00411287" w:rsidRPr="00B847A2" w:rsidRDefault="00411287" w:rsidP="00411287">
      <w:pPr>
        <w:pStyle w:val="ListParagraph"/>
        <w:numPr>
          <w:ilvl w:val="0"/>
          <w:numId w:val="9"/>
        </w:numPr>
        <w:ind w:left="1080"/>
        <w:rPr>
          <w:rFonts w:ascii="Tahoma" w:eastAsia="Times New Roman" w:hAnsi="Tahoma" w:cs="Tahoma"/>
          <w:color w:val="000000"/>
          <w:shd w:val="clear" w:color="auto" w:fill="FFFFFF"/>
        </w:rPr>
      </w:pPr>
      <w:r w:rsidRPr="00B847A2">
        <w:rPr>
          <w:rFonts w:ascii="Tahoma" w:eastAsia="Times New Roman" w:hAnsi="Tahoma" w:cs="Tahoma"/>
          <w:color w:val="000000"/>
          <w:shd w:val="clear" w:color="auto" w:fill="FFFFFF"/>
        </w:rPr>
        <w:t xml:space="preserve">Timing of the single audit results usually occurs in March.  </w:t>
      </w:r>
    </w:p>
    <w:p w14:paraId="0205CE94" w14:textId="77777777" w:rsidR="00411287" w:rsidRPr="00B847A2" w:rsidRDefault="00411287" w:rsidP="00411287">
      <w:pPr>
        <w:pStyle w:val="ListParagraph"/>
        <w:numPr>
          <w:ilvl w:val="0"/>
          <w:numId w:val="9"/>
        </w:numPr>
        <w:ind w:left="1080"/>
        <w:rPr>
          <w:rFonts w:ascii="Tahoma" w:eastAsia="Times New Roman" w:hAnsi="Tahoma" w:cs="Tahoma"/>
          <w:color w:val="000000"/>
          <w:shd w:val="clear" w:color="auto" w:fill="FFFFFF"/>
        </w:rPr>
      </w:pPr>
      <w:r w:rsidRPr="00B847A2">
        <w:rPr>
          <w:rFonts w:ascii="Tahoma" w:eastAsia="Times New Roman" w:hAnsi="Tahoma" w:cs="Tahoma"/>
          <w:color w:val="000000"/>
          <w:shd w:val="clear" w:color="auto" w:fill="FFFFFF"/>
        </w:rPr>
        <w:t>Typically not, due to timing because both audit entities are auditing the same fiscal year at the same time.</w:t>
      </w:r>
    </w:p>
    <w:p w14:paraId="0CF422F7" w14:textId="77777777" w:rsidR="00411287" w:rsidRPr="00B847A2" w:rsidRDefault="00411287" w:rsidP="00411287">
      <w:pPr>
        <w:rPr>
          <w:rFonts w:ascii="Tahoma" w:hAnsi="Tahoma" w:cs="Tahoma"/>
          <w:bCs/>
          <w:sz w:val="22"/>
          <w:szCs w:val="22"/>
        </w:rPr>
      </w:pPr>
    </w:p>
    <w:p w14:paraId="1C773954" w14:textId="3726DB4D" w:rsidR="00B052A5" w:rsidRPr="00B847A2" w:rsidRDefault="00B052A5" w:rsidP="00B052A5">
      <w:pPr>
        <w:rPr>
          <w:rFonts w:ascii="Tahoma" w:hAnsi="Tahoma" w:cs="Tahoma"/>
          <w:bCs/>
          <w:sz w:val="22"/>
          <w:szCs w:val="22"/>
        </w:rPr>
      </w:pPr>
      <w:r w:rsidRPr="00B847A2">
        <w:rPr>
          <w:rFonts w:ascii="Tahoma" w:hAnsi="Tahoma" w:cs="Tahoma"/>
          <w:b/>
          <w:bCs/>
          <w:sz w:val="22"/>
          <w:szCs w:val="22"/>
        </w:rPr>
        <w:t>Question 10</w:t>
      </w:r>
      <w:r w:rsidRPr="00B847A2">
        <w:rPr>
          <w:rFonts w:ascii="Tahoma" w:hAnsi="Tahoma" w:cs="Tahoma"/>
          <w:bCs/>
          <w:sz w:val="22"/>
          <w:szCs w:val="22"/>
        </w:rPr>
        <w:t>:</w:t>
      </w:r>
    </w:p>
    <w:p w14:paraId="422F8C88" w14:textId="77777777" w:rsidR="00B052A5" w:rsidRPr="00B847A2" w:rsidRDefault="00B052A5" w:rsidP="00B052A5">
      <w:pPr>
        <w:rPr>
          <w:rFonts w:ascii="Tahoma" w:hAnsi="Tahoma" w:cs="Tahoma"/>
          <w:color w:val="333333"/>
          <w:sz w:val="22"/>
          <w:szCs w:val="22"/>
        </w:rPr>
      </w:pPr>
      <w:r w:rsidRPr="00B847A2">
        <w:rPr>
          <w:rFonts w:ascii="Tahoma" w:hAnsi="Tahoma" w:cs="Tahoma"/>
          <w:color w:val="333333"/>
          <w:sz w:val="22"/>
          <w:szCs w:val="22"/>
        </w:rPr>
        <w:t>Can you release the prior year (2019) single audit findings if there were any?</w:t>
      </w:r>
    </w:p>
    <w:p w14:paraId="3DD8F2B6" w14:textId="7F2BE75F" w:rsidR="00B052A5" w:rsidRPr="00B847A2" w:rsidRDefault="00B052A5" w:rsidP="00B052A5">
      <w:pPr>
        <w:rPr>
          <w:rFonts w:ascii="Tahoma" w:hAnsi="Tahoma" w:cs="Tahoma"/>
          <w:sz w:val="22"/>
          <w:szCs w:val="22"/>
        </w:rPr>
      </w:pPr>
      <w:r w:rsidRPr="00B847A2">
        <w:rPr>
          <w:rFonts w:ascii="Tahoma" w:hAnsi="Tahoma" w:cs="Tahoma"/>
          <w:b/>
          <w:bCs/>
          <w:color w:val="000000"/>
          <w:sz w:val="22"/>
          <w:szCs w:val="22"/>
          <w:shd w:val="clear" w:color="auto" w:fill="FFFFFF"/>
        </w:rPr>
        <w:t>Response:</w:t>
      </w:r>
      <w:r w:rsidRPr="00B847A2">
        <w:rPr>
          <w:rFonts w:ascii="Tahoma" w:hAnsi="Tahoma" w:cs="Tahoma"/>
          <w:color w:val="000000"/>
          <w:sz w:val="22"/>
          <w:szCs w:val="22"/>
          <w:shd w:val="clear" w:color="auto" w:fill="FFFFFF"/>
        </w:rPr>
        <w:t xml:space="preserve"> The Comptroller of Public Accounts and the State Auditor’s Office have completed the statewide single audit reporting package for the state of Texas for fiscal 2019 and submitted the required materials to the Federal Audit Clearinghouse as required by </w:t>
      </w:r>
      <w:hyperlink r:id="rId14" w:tgtFrame="_blank" w:history="1">
        <w:r w:rsidRPr="00B847A2">
          <w:rPr>
            <w:rStyle w:val="Hyperlink"/>
            <w:rFonts w:ascii="Tahoma" w:hAnsi="Tahoma" w:cs="Tahoma"/>
            <w:color w:val="000000"/>
            <w:sz w:val="22"/>
            <w:szCs w:val="22"/>
            <w:shd w:val="clear" w:color="auto" w:fill="FFFFFF"/>
          </w:rPr>
          <w:t xml:space="preserve">2 CFR, Part 200, Subpart F </w:t>
        </w:r>
        <w:r w:rsidRPr="00B847A2">
          <w:rPr>
            <w:rStyle w:val="Hyperlink"/>
            <w:rFonts w:ascii="Tahoma" w:hAnsi="Tahoma" w:cs="Tahoma"/>
            <w:color w:val="000000"/>
            <w:sz w:val="22"/>
            <w:szCs w:val="22"/>
            <w:shd w:val="clear" w:color="auto" w:fill="FFFFFF"/>
          </w:rPr>
          <w:lastRenderedPageBreak/>
          <w:t>(Uniform Guidance)</w:t>
        </w:r>
      </w:hyperlink>
      <w:r w:rsidRPr="00B847A2">
        <w:rPr>
          <w:rFonts w:ascii="Tahoma" w:hAnsi="Tahoma" w:cs="Tahoma"/>
          <w:color w:val="000000"/>
          <w:sz w:val="22"/>
          <w:szCs w:val="22"/>
          <w:shd w:val="clear" w:color="auto" w:fill="FFFFFF"/>
        </w:rPr>
        <w:t xml:space="preserve">. All state agencies and institutions of higher education are included in the statewide single audit performed by the Texas State Auditor’s Office/CliftonLarsonAllen LLP.   </w:t>
      </w:r>
      <w:hyperlink r:id="rId15" w:history="1">
        <w:r w:rsidRPr="00B847A2">
          <w:rPr>
            <w:rStyle w:val="Hyperlink"/>
            <w:rFonts w:ascii="Tahoma" w:hAnsi="Tahoma" w:cs="Tahoma"/>
            <w:sz w:val="22"/>
            <w:szCs w:val="22"/>
          </w:rPr>
          <w:t>https://fmx.cpa.texas.gov/fmx/finrpt/singleaudit/index.php</w:t>
        </w:r>
      </w:hyperlink>
    </w:p>
    <w:p w14:paraId="52581295" w14:textId="17CDCDB3" w:rsidR="00E85748" w:rsidRPr="00B847A2" w:rsidRDefault="00E85748" w:rsidP="00B052A5">
      <w:pPr>
        <w:rPr>
          <w:rFonts w:ascii="Tahoma" w:hAnsi="Tahoma" w:cs="Tahoma"/>
          <w:sz w:val="22"/>
          <w:szCs w:val="22"/>
        </w:rPr>
      </w:pPr>
    </w:p>
    <w:p w14:paraId="6CF80AE2" w14:textId="11804154" w:rsidR="00E85748" w:rsidRPr="00B847A2" w:rsidRDefault="00E85748" w:rsidP="00E85748">
      <w:pPr>
        <w:rPr>
          <w:rFonts w:ascii="Tahoma" w:hAnsi="Tahoma" w:cs="Tahoma"/>
          <w:bCs/>
          <w:sz w:val="22"/>
          <w:szCs w:val="22"/>
        </w:rPr>
      </w:pPr>
      <w:bookmarkStart w:id="1" w:name="_Hlk47626545"/>
      <w:r w:rsidRPr="00B847A2">
        <w:rPr>
          <w:rFonts w:ascii="Tahoma" w:hAnsi="Tahoma" w:cs="Tahoma"/>
          <w:b/>
          <w:bCs/>
          <w:sz w:val="22"/>
          <w:szCs w:val="22"/>
        </w:rPr>
        <w:t>Question 11</w:t>
      </w:r>
      <w:r w:rsidRPr="00B847A2">
        <w:rPr>
          <w:rFonts w:ascii="Tahoma" w:hAnsi="Tahoma" w:cs="Tahoma"/>
          <w:bCs/>
          <w:sz w:val="22"/>
          <w:szCs w:val="22"/>
        </w:rPr>
        <w:t>:</w:t>
      </w:r>
    </w:p>
    <w:p w14:paraId="52230BCF" w14:textId="77777777" w:rsidR="00E85748" w:rsidRPr="00B847A2" w:rsidRDefault="00E85748" w:rsidP="00E85748">
      <w:pPr>
        <w:rPr>
          <w:rFonts w:ascii="Tahoma" w:hAnsi="Tahoma" w:cs="Tahoma"/>
          <w:color w:val="1F497D"/>
          <w:sz w:val="22"/>
          <w:szCs w:val="22"/>
        </w:rPr>
      </w:pPr>
      <w:r w:rsidRPr="00B847A2">
        <w:rPr>
          <w:rFonts w:ascii="Tahoma" w:hAnsi="Tahoma" w:cs="Tahoma"/>
          <w:color w:val="000000"/>
          <w:sz w:val="22"/>
          <w:szCs w:val="22"/>
          <w:shd w:val="clear" w:color="auto" w:fill="FFFFFF"/>
        </w:rPr>
        <w:t>How much weight in scoring or preference will be given to using a HUB subcontractor?</w:t>
      </w:r>
    </w:p>
    <w:p w14:paraId="7B50BBF8" w14:textId="77777777" w:rsidR="00E603D7" w:rsidRDefault="00E85748" w:rsidP="00E603D7">
      <w:pPr>
        <w:rPr>
          <w:rFonts w:ascii="Tahoma" w:hAnsi="Tahoma" w:cs="Tahoma"/>
          <w:b/>
          <w:bCs/>
          <w:color w:val="000000"/>
          <w:sz w:val="22"/>
          <w:szCs w:val="22"/>
          <w:shd w:val="clear" w:color="auto" w:fill="FFFFFF"/>
        </w:rPr>
      </w:pPr>
      <w:r w:rsidRPr="00B847A2">
        <w:rPr>
          <w:rFonts w:ascii="Tahoma" w:hAnsi="Tahoma" w:cs="Tahoma"/>
          <w:b/>
          <w:bCs/>
          <w:color w:val="000000"/>
          <w:sz w:val="22"/>
          <w:szCs w:val="22"/>
          <w:shd w:val="clear" w:color="auto" w:fill="FFFFFF"/>
        </w:rPr>
        <w:t xml:space="preserve">Response: </w:t>
      </w:r>
      <w:bookmarkStart w:id="2" w:name="_Toc46397132"/>
    </w:p>
    <w:p w14:paraId="7B5B7B9A" w14:textId="557EC4CC" w:rsidR="00E603D7" w:rsidRDefault="00E603D7" w:rsidP="00E603D7">
      <w:pPr>
        <w:rPr>
          <w:rFonts w:ascii="Tahoma" w:hAnsi="Tahoma" w:cs="Tahoma"/>
          <w:color w:val="000000"/>
          <w:sz w:val="22"/>
          <w:szCs w:val="22"/>
          <w:shd w:val="clear" w:color="auto" w:fill="FFFFFF"/>
        </w:rPr>
      </w:pPr>
      <w:r w:rsidRPr="00E603D7">
        <w:rPr>
          <w:rFonts w:ascii="Tahoma" w:hAnsi="Tahoma" w:cs="Tahoma"/>
          <w:color w:val="000000"/>
          <w:sz w:val="22"/>
          <w:szCs w:val="22"/>
          <w:shd w:val="clear" w:color="auto" w:fill="FFFFFF"/>
        </w:rPr>
        <w:t>Evaluation Criteria for each of the Proposal Components:</w:t>
      </w:r>
      <w:bookmarkEnd w:id="2"/>
    </w:p>
    <w:tbl>
      <w:tblPr>
        <w:tblStyle w:val="TableGrid"/>
        <w:tblW w:w="0" w:type="auto"/>
        <w:tblLook w:val="04A0" w:firstRow="1" w:lastRow="0" w:firstColumn="1" w:lastColumn="0" w:noHBand="0" w:noVBand="1"/>
      </w:tblPr>
      <w:tblGrid>
        <w:gridCol w:w="4810"/>
        <w:gridCol w:w="1125"/>
      </w:tblGrid>
      <w:tr w:rsidR="00E603D7" w14:paraId="675A0373" w14:textId="77777777" w:rsidTr="00E603D7">
        <w:tc>
          <w:tcPr>
            <w:tcW w:w="4810" w:type="dxa"/>
          </w:tcPr>
          <w:p w14:paraId="5BD13279" w14:textId="4B629FC9" w:rsidR="00E603D7" w:rsidRDefault="00E603D7" w:rsidP="00E603D7">
            <w:pPr>
              <w:rPr>
                <w:rFonts w:ascii="Tahoma" w:hAnsi="Tahoma" w:cs="Tahoma"/>
                <w:color w:val="000000"/>
                <w:shd w:val="clear" w:color="auto" w:fill="FFFFFF"/>
              </w:rPr>
            </w:pPr>
            <w:r w:rsidRPr="00E603D7">
              <w:rPr>
                <w:rFonts w:ascii="Tahoma" w:hAnsi="Tahoma" w:cs="Tahoma"/>
                <w:color w:val="000000"/>
                <w:shd w:val="clear" w:color="auto" w:fill="FFFFFF"/>
              </w:rPr>
              <w:t>Technical Component</w:t>
            </w:r>
          </w:p>
        </w:tc>
        <w:tc>
          <w:tcPr>
            <w:tcW w:w="1125" w:type="dxa"/>
          </w:tcPr>
          <w:p w14:paraId="038A2FD7" w14:textId="282B89F8" w:rsidR="00E603D7" w:rsidRPr="00E603D7" w:rsidRDefault="00E603D7" w:rsidP="00E603D7">
            <w:r w:rsidRPr="00E603D7">
              <w:rPr>
                <w:rFonts w:ascii="Tahoma" w:hAnsi="Tahoma" w:cs="Tahoma"/>
                <w:color w:val="000000"/>
                <w:shd w:val="clear" w:color="auto" w:fill="FFFFFF"/>
              </w:rPr>
              <w:t>40%</w:t>
            </w:r>
          </w:p>
        </w:tc>
      </w:tr>
      <w:tr w:rsidR="00E603D7" w14:paraId="5102F9B1" w14:textId="77777777" w:rsidTr="00E603D7">
        <w:tc>
          <w:tcPr>
            <w:tcW w:w="4810" w:type="dxa"/>
            <w:tcBorders>
              <w:bottom w:val="single" w:sz="4" w:space="0" w:color="auto"/>
            </w:tcBorders>
          </w:tcPr>
          <w:p w14:paraId="03434366" w14:textId="7B5ABD1A" w:rsidR="00E603D7" w:rsidRDefault="00E603D7" w:rsidP="00E603D7">
            <w:pPr>
              <w:rPr>
                <w:rFonts w:ascii="Tahoma" w:hAnsi="Tahoma" w:cs="Tahoma"/>
                <w:color w:val="000000"/>
                <w:shd w:val="clear" w:color="auto" w:fill="FFFFFF"/>
              </w:rPr>
            </w:pPr>
            <w:r w:rsidRPr="00E603D7">
              <w:rPr>
                <w:rFonts w:ascii="Tahoma" w:hAnsi="Tahoma" w:cs="Tahoma"/>
                <w:color w:val="000000"/>
                <w:shd w:val="clear" w:color="auto" w:fill="FFFFFF"/>
              </w:rPr>
              <w:t>Management Component</w:t>
            </w:r>
          </w:p>
        </w:tc>
        <w:tc>
          <w:tcPr>
            <w:tcW w:w="1125" w:type="dxa"/>
            <w:tcBorders>
              <w:bottom w:val="single" w:sz="4" w:space="0" w:color="auto"/>
            </w:tcBorders>
          </w:tcPr>
          <w:p w14:paraId="467D53C1" w14:textId="2958C111" w:rsidR="00E603D7" w:rsidRDefault="00E603D7" w:rsidP="00E603D7">
            <w:pPr>
              <w:rPr>
                <w:rFonts w:ascii="Tahoma" w:hAnsi="Tahoma" w:cs="Tahoma"/>
                <w:color w:val="000000"/>
                <w:shd w:val="clear" w:color="auto" w:fill="FFFFFF"/>
              </w:rPr>
            </w:pPr>
            <w:r w:rsidRPr="00E603D7">
              <w:rPr>
                <w:rFonts w:ascii="Tahoma" w:hAnsi="Tahoma" w:cs="Tahoma"/>
                <w:color w:val="000000"/>
                <w:shd w:val="clear" w:color="auto" w:fill="FFFFFF"/>
              </w:rPr>
              <w:t>30%</w:t>
            </w:r>
          </w:p>
        </w:tc>
      </w:tr>
      <w:tr w:rsidR="00E603D7" w14:paraId="6094BB6B" w14:textId="77777777" w:rsidTr="00E603D7">
        <w:tc>
          <w:tcPr>
            <w:tcW w:w="4810" w:type="dxa"/>
            <w:tcBorders>
              <w:bottom w:val="double" w:sz="4" w:space="0" w:color="auto"/>
            </w:tcBorders>
          </w:tcPr>
          <w:p w14:paraId="7A31DF54" w14:textId="60CAEE24" w:rsidR="00E603D7" w:rsidRDefault="00E603D7" w:rsidP="00E603D7">
            <w:pPr>
              <w:rPr>
                <w:rFonts w:ascii="Tahoma" w:hAnsi="Tahoma" w:cs="Tahoma"/>
                <w:color w:val="000000"/>
                <w:shd w:val="clear" w:color="auto" w:fill="FFFFFF"/>
              </w:rPr>
            </w:pPr>
            <w:r w:rsidRPr="00E603D7">
              <w:rPr>
                <w:rFonts w:ascii="Tahoma" w:hAnsi="Tahoma" w:cs="Tahoma"/>
                <w:color w:val="000000"/>
                <w:shd w:val="clear" w:color="auto" w:fill="FFFFFF"/>
              </w:rPr>
              <w:t>Qualifications</w:t>
            </w:r>
          </w:p>
        </w:tc>
        <w:tc>
          <w:tcPr>
            <w:tcW w:w="1125" w:type="dxa"/>
            <w:tcBorders>
              <w:bottom w:val="double" w:sz="4" w:space="0" w:color="auto"/>
            </w:tcBorders>
          </w:tcPr>
          <w:p w14:paraId="66518629" w14:textId="4CF37813" w:rsidR="00E603D7" w:rsidRDefault="00E603D7" w:rsidP="00E603D7">
            <w:pPr>
              <w:rPr>
                <w:rFonts w:ascii="Tahoma" w:hAnsi="Tahoma" w:cs="Tahoma"/>
                <w:color w:val="000000"/>
                <w:shd w:val="clear" w:color="auto" w:fill="FFFFFF"/>
              </w:rPr>
            </w:pPr>
            <w:r w:rsidRPr="00E603D7">
              <w:rPr>
                <w:rFonts w:ascii="Tahoma" w:hAnsi="Tahoma" w:cs="Tahoma"/>
                <w:color w:val="000000"/>
                <w:shd w:val="clear" w:color="auto" w:fill="FFFFFF"/>
              </w:rPr>
              <w:t>30%</w:t>
            </w:r>
          </w:p>
        </w:tc>
      </w:tr>
      <w:tr w:rsidR="00E603D7" w14:paraId="6A96F0DA" w14:textId="77777777" w:rsidTr="00E603D7">
        <w:tc>
          <w:tcPr>
            <w:tcW w:w="4810" w:type="dxa"/>
            <w:tcBorders>
              <w:top w:val="double" w:sz="4" w:space="0" w:color="auto"/>
            </w:tcBorders>
          </w:tcPr>
          <w:p w14:paraId="71364896" w14:textId="34B55A8E" w:rsidR="00E603D7" w:rsidRPr="00E603D7" w:rsidRDefault="00E603D7" w:rsidP="00E603D7">
            <w:pPr>
              <w:rPr>
                <w:rFonts w:ascii="Tahoma" w:hAnsi="Tahoma" w:cs="Tahoma"/>
                <w:color w:val="000000"/>
                <w:shd w:val="clear" w:color="auto" w:fill="FFFFFF"/>
              </w:rPr>
            </w:pPr>
            <w:r>
              <w:rPr>
                <w:rFonts w:ascii="Tahoma" w:hAnsi="Tahoma" w:cs="Tahoma"/>
                <w:color w:val="000000"/>
                <w:shd w:val="clear" w:color="auto" w:fill="FFFFFF"/>
              </w:rPr>
              <w:t>Total</w:t>
            </w:r>
          </w:p>
        </w:tc>
        <w:tc>
          <w:tcPr>
            <w:tcW w:w="1125" w:type="dxa"/>
            <w:tcBorders>
              <w:top w:val="double" w:sz="4" w:space="0" w:color="auto"/>
            </w:tcBorders>
          </w:tcPr>
          <w:p w14:paraId="4A8BA71D" w14:textId="7DD8F261" w:rsidR="00E603D7" w:rsidRPr="00E603D7" w:rsidRDefault="00E603D7" w:rsidP="00E603D7">
            <w:pPr>
              <w:rPr>
                <w:rFonts w:ascii="Tahoma" w:hAnsi="Tahoma" w:cs="Tahoma"/>
                <w:color w:val="000000"/>
                <w:shd w:val="clear" w:color="auto" w:fill="FFFFFF"/>
              </w:rPr>
            </w:pPr>
            <w:r>
              <w:rPr>
                <w:rFonts w:ascii="Tahoma" w:hAnsi="Tahoma" w:cs="Tahoma"/>
                <w:color w:val="000000"/>
                <w:shd w:val="clear" w:color="auto" w:fill="FFFFFF"/>
              </w:rPr>
              <w:t>100%</w:t>
            </w:r>
          </w:p>
        </w:tc>
      </w:tr>
      <w:bookmarkEnd w:id="1"/>
    </w:tbl>
    <w:p w14:paraId="1F611DE2" w14:textId="22369371" w:rsidR="000F61B4" w:rsidRDefault="000F61B4">
      <w:pPr>
        <w:pStyle w:val="Title"/>
        <w:rPr>
          <w:b/>
          <w:bCs/>
        </w:rPr>
      </w:pPr>
    </w:p>
    <w:p w14:paraId="30066992" w14:textId="617AA002" w:rsidR="00FC30B8" w:rsidRPr="00B847A2" w:rsidRDefault="00FC30B8" w:rsidP="00FC30B8">
      <w:pPr>
        <w:rPr>
          <w:rFonts w:ascii="Tahoma" w:hAnsi="Tahoma" w:cs="Tahoma"/>
          <w:bCs/>
          <w:sz w:val="22"/>
          <w:szCs w:val="22"/>
        </w:rPr>
      </w:pPr>
      <w:r w:rsidRPr="00B847A2">
        <w:rPr>
          <w:rFonts w:ascii="Tahoma" w:hAnsi="Tahoma" w:cs="Tahoma"/>
          <w:b/>
          <w:bCs/>
          <w:sz w:val="22"/>
          <w:szCs w:val="22"/>
        </w:rPr>
        <w:t>Question 1</w:t>
      </w:r>
      <w:r>
        <w:rPr>
          <w:rFonts w:ascii="Tahoma" w:hAnsi="Tahoma" w:cs="Tahoma"/>
          <w:b/>
          <w:bCs/>
          <w:sz w:val="22"/>
          <w:szCs w:val="22"/>
        </w:rPr>
        <w:t>2</w:t>
      </w:r>
      <w:r w:rsidRPr="00B847A2">
        <w:rPr>
          <w:rFonts w:ascii="Tahoma" w:hAnsi="Tahoma" w:cs="Tahoma"/>
          <w:bCs/>
          <w:sz w:val="22"/>
          <w:szCs w:val="22"/>
        </w:rPr>
        <w:t>:</w:t>
      </w:r>
    </w:p>
    <w:p w14:paraId="67E924AF" w14:textId="77777777" w:rsidR="00FC30B8" w:rsidRPr="0070056D" w:rsidRDefault="00FC30B8" w:rsidP="00D72A08">
      <w:pPr>
        <w:pStyle w:val="NoSpacing"/>
        <w:rPr>
          <w:rFonts w:ascii="Tahoma" w:hAnsi="Tahoma" w:cs="Tahoma"/>
          <w:color w:val="000000"/>
          <w:sz w:val="22"/>
          <w:szCs w:val="22"/>
          <w:shd w:val="clear" w:color="auto" w:fill="FFFFFF"/>
        </w:rPr>
      </w:pPr>
      <w:r w:rsidRPr="0070056D">
        <w:rPr>
          <w:rFonts w:ascii="Tahoma" w:hAnsi="Tahoma" w:cs="Tahoma"/>
          <w:color w:val="000000"/>
          <w:sz w:val="22"/>
          <w:szCs w:val="22"/>
          <w:shd w:val="clear" w:color="auto" w:fill="FFFFFF"/>
        </w:rPr>
        <w:t xml:space="preserve">Attachment A has a section E which is entitled “Exceptions to T&amp;C”.  However page 10 of the RFQ under #3 of the second PDF section notes that exceptions should be included in the transmittal letter. Should we refer out the Attachment A section </w:t>
      </w:r>
      <w:proofErr w:type="gramStart"/>
      <w:r w:rsidRPr="0070056D">
        <w:rPr>
          <w:rFonts w:ascii="Tahoma" w:hAnsi="Tahoma" w:cs="Tahoma"/>
          <w:color w:val="000000"/>
          <w:sz w:val="22"/>
          <w:szCs w:val="22"/>
          <w:shd w:val="clear" w:color="auto" w:fill="FFFFFF"/>
        </w:rPr>
        <w:t>to  the</w:t>
      </w:r>
      <w:proofErr w:type="gramEnd"/>
      <w:r w:rsidRPr="0070056D">
        <w:rPr>
          <w:rFonts w:ascii="Tahoma" w:hAnsi="Tahoma" w:cs="Tahoma"/>
          <w:color w:val="000000"/>
          <w:sz w:val="22"/>
          <w:szCs w:val="22"/>
          <w:shd w:val="clear" w:color="auto" w:fill="FFFFFF"/>
        </w:rPr>
        <w:t xml:space="preserve"> transmittal letter?</w:t>
      </w:r>
    </w:p>
    <w:p w14:paraId="7BEB85E9" w14:textId="77777777" w:rsidR="00D72A08" w:rsidRPr="0070056D" w:rsidRDefault="00FC30B8" w:rsidP="00D72A08">
      <w:pPr>
        <w:pStyle w:val="NoSpacing"/>
        <w:rPr>
          <w:rFonts w:ascii="Tahoma" w:hAnsi="Tahoma" w:cs="Tahoma"/>
          <w:color w:val="000000"/>
          <w:sz w:val="22"/>
          <w:szCs w:val="22"/>
          <w:shd w:val="clear" w:color="auto" w:fill="FFFFFF"/>
        </w:rPr>
      </w:pPr>
      <w:r w:rsidRPr="0070056D">
        <w:rPr>
          <w:rFonts w:ascii="Tahoma" w:hAnsi="Tahoma" w:cs="Tahoma"/>
          <w:color w:val="000000"/>
          <w:sz w:val="22"/>
          <w:szCs w:val="22"/>
          <w:shd w:val="clear" w:color="auto" w:fill="FFFFFF"/>
        </w:rPr>
        <w:t xml:space="preserve">Page 10 of the PRQ under #3 of the second PDF section notes “Any exceptions to this RFQ and the THECB Vendor’s Addendum, or any of the items listed under A.3.2 contracting process must be specifically noted in the letter.”  </w:t>
      </w:r>
    </w:p>
    <w:p w14:paraId="22C30E40" w14:textId="71A5AD05" w:rsidR="00FC30B8" w:rsidRPr="0070056D" w:rsidRDefault="00FC30B8" w:rsidP="00D72A08">
      <w:pPr>
        <w:pStyle w:val="NoSpacing"/>
        <w:rPr>
          <w:rFonts w:ascii="Tahoma" w:hAnsi="Tahoma" w:cs="Tahoma"/>
          <w:color w:val="000000"/>
          <w:sz w:val="22"/>
          <w:szCs w:val="22"/>
          <w:shd w:val="clear" w:color="auto" w:fill="FFFFFF"/>
        </w:rPr>
      </w:pPr>
      <w:r w:rsidRPr="0070056D">
        <w:rPr>
          <w:rFonts w:ascii="Tahoma" w:hAnsi="Tahoma" w:cs="Tahoma"/>
          <w:color w:val="000000"/>
          <w:sz w:val="22"/>
          <w:szCs w:val="22"/>
          <w:shd w:val="clear" w:color="auto" w:fill="FFFFFF"/>
        </w:rPr>
        <w:t xml:space="preserve">Our question is what is the THECB Vendor Addendum and what is section A.3.2 please? </w:t>
      </w:r>
    </w:p>
    <w:p w14:paraId="0CB36F12" w14:textId="0CDBA33A" w:rsidR="00692A22" w:rsidRPr="0070056D" w:rsidRDefault="00FC30B8" w:rsidP="00D72A08">
      <w:pPr>
        <w:pStyle w:val="NoSpacing"/>
        <w:rPr>
          <w:rFonts w:ascii="Tahoma" w:hAnsi="Tahoma" w:cs="Tahoma"/>
          <w:color w:val="000000"/>
          <w:sz w:val="22"/>
          <w:szCs w:val="22"/>
          <w:shd w:val="clear" w:color="auto" w:fill="FFFFFF"/>
        </w:rPr>
      </w:pPr>
      <w:r w:rsidRPr="0070056D">
        <w:rPr>
          <w:rFonts w:ascii="Tahoma" w:hAnsi="Tahoma" w:cs="Tahoma"/>
          <w:b/>
          <w:bCs/>
          <w:color w:val="000000"/>
          <w:sz w:val="22"/>
          <w:szCs w:val="22"/>
          <w:shd w:val="clear" w:color="auto" w:fill="FFFFFF"/>
        </w:rPr>
        <w:t>Response:</w:t>
      </w:r>
      <w:r w:rsidRPr="0070056D">
        <w:rPr>
          <w:rFonts w:ascii="Tahoma" w:hAnsi="Tahoma" w:cs="Tahoma"/>
          <w:color w:val="000000"/>
          <w:sz w:val="22"/>
          <w:szCs w:val="22"/>
          <w:shd w:val="clear" w:color="auto" w:fill="FFFFFF"/>
        </w:rPr>
        <w:t xml:space="preserve"> The THECB has posted an Addendum to the RFQ to address Question 12</w:t>
      </w:r>
    </w:p>
    <w:p w14:paraId="61119C98" w14:textId="77777777" w:rsidR="00692A22" w:rsidRDefault="00692A22" w:rsidP="00692A22">
      <w:pPr>
        <w:rPr>
          <w:rFonts w:ascii="Tahoma" w:hAnsi="Tahoma" w:cs="Tahoma"/>
          <w:color w:val="000000"/>
          <w:sz w:val="22"/>
          <w:szCs w:val="22"/>
          <w:shd w:val="clear" w:color="auto" w:fill="FFFFFF"/>
        </w:rPr>
      </w:pPr>
    </w:p>
    <w:p w14:paraId="18B5FF1F" w14:textId="1D56EA35" w:rsidR="00692A22" w:rsidRDefault="00692A22" w:rsidP="00692A22">
      <w:pPr>
        <w:rPr>
          <w:rFonts w:ascii="Tahoma" w:hAnsi="Tahoma" w:cs="Tahoma"/>
          <w:bCs/>
          <w:sz w:val="22"/>
          <w:szCs w:val="22"/>
        </w:rPr>
      </w:pPr>
      <w:r w:rsidRPr="00B847A2">
        <w:rPr>
          <w:rFonts w:ascii="Tahoma" w:hAnsi="Tahoma" w:cs="Tahoma"/>
          <w:b/>
          <w:bCs/>
          <w:sz w:val="22"/>
          <w:szCs w:val="22"/>
        </w:rPr>
        <w:t>Question 1</w:t>
      </w:r>
      <w:r>
        <w:rPr>
          <w:rFonts w:ascii="Tahoma" w:hAnsi="Tahoma" w:cs="Tahoma"/>
          <w:b/>
          <w:bCs/>
          <w:sz w:val="22"/>
          <w:szCs w:val="22"/>
        </w:rPr>
        <w:t>3</w:t>
      </w:r>
      <w:r w:rsidRPr="00B847A2">
        <w:rPr>
          <w:rFonts w:ascii="Tahoma" w:hAnsi="Tahoma" w:cs="Tahoma"/>
          <w:bCs/>
          <w:sz w:val="22"/>
          <w:szCs w:val="22"/>
        </w:rPr>
        <w:t>:</w:t>
      </w:r>
    </w:p>
    <w:p w14:paraId="386E9CE9" w14:textId="77777777" w:rsidR="00405DF8" w:rsidRPr="0070056D" w:rsidRDefault="00405DF8" w:rsidP="00405DF8">
      <w:pPr>
        <w:pStyle w:val="NoSpacing"/>
        <w:rPr>
          <w:rFonts w:ascii="Tahoma" w:hAnsi="Tahoma" w:cs="Tahoma"/>
          <w:color w:val="000000"/>
          <w:sz w:val="22"/>
          <w:szCs w:val="22"/>
          <w:shd w:val="clear" w:color="auto" w:fill="FFFFFF"/>
        </w:rPr>
      </w:pPr>
      <w:r w:rsidRPr="0070056D">
        <w:rPr>
          <w:rFonts w:ascii="Tahoma" w:hAnsi="Tahoma" w:cs="Tahoma"/>
          <w:color w:val="000000"/>
          <w:sz w:val="22"/>
          <w:szCs w:val="22"/>
          <w:shd w:val="clear" w:color="auto" w:fill="FFFFFF"/>
        </w:rPr>
        <w:t xml:space="preserve">Could you provide some information as the extent and nature of any debt financing/refinancing transactions that have occurred in fiscal year 2020 </w:t>
      </w:r>
      <w:proofErr w:type="gramStart"/>
      <w:r w:rsidRPr="0070056D">
        <w:rPr>
          <w:rFonts w:ascii="Tahoma" w:hAnsi="Tahoma" w:cs="Tahoma"/>
          <w:color w:val="000000"/>
          <w:sz w:val="22"/>
          <w:szCs w:val="22"/>
          <w:shd w:val="clear" w:color="auto" w:fill="FFFFFF"/>
        </w:rPr>
        <w:t>and also</w:t>
      </w:r>
      <w:proofErr w:type="gramEnd"/>
      <w:r w:rsidRPr="0070056D">
        <w:rPr>
          <w:rFonts w:ascii="Tahoma" w:hAnsi="Tahoma" w:cs="Tahoma"/>
          <w:color w:val="000000"/>
          <w:sz w:val="22"/>
          <w:szCs w:val="22"/>
          <w:shd w:val="clear" w:color="auto" w:fill="FFFFFF"/>
        </w:rPr>
        <w:t xml:space="preserve"> those anticipated going forward into the next fiscal year?</w:t>
      </w:r>
    </w:p>
    <w:p w14:paraId="7784961E" w14:textId="6FDFAB5F" w:rsidR="00405DF8" w:rsidRPr="0070056D" w:rsidRDefault="00405DF8" w:rsidP="00D72A08">
      <w:pPr>
        <w:pStyle w:val="NoSpacing"/>
        <w:rPr>
          <w:rFonts w:ascii="Tahoma" w:hAnsi="Tahoma" w:cs="Tahoma"/>
          <w:color w:val="000000"/>
          <w:sz w:val="22"/>
          <w:szCs w:val="22"/>
          <w:shd w:val="clear" w:color="auto" w:fill="FFFFFF"/>
        </w:rPr>
      </w:pPr>
      <w:r w:rsidRPr="00405DF8">
        <w:rPr>
          <w:rFonts w:ascii="Tahoma" w:hAnsi="Tahoma" w:cs="Tahoma"/>
          <w:b/>
          <w:bCs/>
          <w:sz w:val="22"/>
          <w:szCs w:val="22"/>
        </w:rPr>
        <w:t>Response:</w:t>
      </w:r>
      <w:r>
        <w:rPr>
          <w:rFonts w:ascii="Tahoma" w:hAnsi="Tahoma" w:cs="Tahoma"/>
          <w:bCs/>
          <w:sz w:val="22"/>
          <w:szCs w:val="22"/>
        </w:rPr>
        <w:t xml:space="preserve"> </w:t>
      </w:r>
      <w:r w:rsidRPr="0070056D">
        <w:rPr>
          <w:rFonts w:ascii="Tahoma" w:hAnsi="Tahoma" w:cs="Tahoma"/>
          <w:color w:val="000000"/>
          <w:sz w:val="22"/>
          <w:szCs w:val="22"/>
          <w:shd w:val="clear" w:color="auto" w:fill="FFFFFF"/>
        </w:rPr>
        <w:t>In fiscal year 2020, we issued bonds for new money to issue student loans and for refunding the 2010 bond series.  Both issues were tax exempt PABs.  The THECB intends to issue up to $170M of new money bonds in July 2021 to fund new student loan relating to the 2021/2022 academic year and approximately $92M of refunding bonds to refund the 2011 bonds series that will become callable on 8/1/21.</w:t>
      </w:r>
    </w:p>
    <w:p w14:paraId="44A1DBE1" w14:textId="77777777" w:rsidR="00D72A08" w:rsidRDefault="00D72A08" w:rsidP="00D72A08">
      <w:pPr>
        <w:rPr>
          <w:rFonts w:ascii="Tahoma" w:hAnsi="Tahoma" w:cs="Tahoma"/>
          <w:b/>
          <w:bCs/>
          <w:sz w:val="22"/>
          <w:szCs w:val="22"/>
        </w:rPr>
      </w:pPr>
    </w:p>
    <w:p w14:paraId="7F19B808" w14:textId="26F94A3D" w:rsidR="00692A22" w:rsidRPr="00D72A08" w:rsidRDefault="00D72A08" w:rsidP="00D72A08">
      <w:pPr>
        <w:rPr>
          <w:rFonts w:ascii="Tahoma" w:hAnsi="Tahoma" w:cs="Tahoma"/>
          <w:b/>
          <w:bCs/>
          <w:sz w:val="22"/>
          <w:szCs w:val="22"/>
        </w:rPr>
      </w:pPr>
      <w:r w:rsidRPr="00D72A08">
        <w:rPr>
          <w:rFonts w:ascii="Tahoma" w:hAnsi="Tahoma" w:cs="Tahoma"/>
          <w:b/>
          <w:bCs/>
          <w:sz w:val="22"/>
          <w:szCs w:val="22"/>
        </w:rPr>
        <w:t>Question 14:</w:t>
      </w:r>
    </w:p>
    <w:p w14:paraId="27222630" w14:textId="77777777" w:rsidR="00D72A08" w:rsidRPr="0070056D" w:rsidRDefault="00D72A08" w:rsidP="0070056D">
      <w:pPr>
        <w:pStyle w:val="NoSpacing"/>
        <w:rPr>
          <w:rFonts w:ascii="Tahoma" w:hAnsi="Tahoma" w:cs="Tahoma"/>
          <w:color w:val="000000"/>
          <w:sz w:val="22"/>
          <w:szCs w:val="22"/>
          <w:shd w:val="clear" w:color="auto" w:fill="FFFFFF"/>
        </w:rPr>
      </w:pPr>
      <w:r w:rsidRPr="0070056D">
        <w:rPr>
          <w:rFonts w:ascii="Tahoma" w:hAnsi="Tahoma" w:cs="Tahoma"/>
          <w:color w:val="000000"/>
          <w:sz w:val="22"/>
          <w:szCs w:val="22"/>
          <w:shd w:val="clear" w:color="auto" w:fill="FFFFFF"/>
        </w:rPr>
        <w:t xml:space="preserve">Section 2.2 Statement of Work: </w:t>
      </w:r>
      <w:proofErr w:type="gramStart"/>
      <w:r w:rsidRPr="0070056D">
        <w:rPr>
          <w:rFonts w:ascii="Tahoma" w:hAnsi="Tahoma" w:cs="Tahoma"/>
          <w:color w:val="000000"/>
          <w:sz w:val="22"/>
          <w:szCs w:val="22"/>
          <w:shd w:val="clear" w:color="auto" w:fill="FFFFFF"/>
        </w:rPr>
        <w:t>In order to</w:t>
      </w:r>
      <w:proofErr w:type="gramEnd"/>
      <w:r w:rsidRPr="0070056D">
        <w:rPr>
          <w:rFonts w:ascii="Tahoma" w:hAnsi="Tahoma" w:cs="Tahoma"/>
          <w:color w:val="000000"/>
          <w:sz w:val="22"/>
          <w:szCs w:val="22"/>
          <w:shd w:val="clear" w:color="auto" w:fill="FFFFFF"/>
        </w:rPr>
        <w:t xml:space="preserve"> perform the audits of the general-purpose financial statements, the auditor shall be required to understand the THECB's internal control policies and procedures and evaluate the effectiveness of the entity's internal control.  The financial audit shall include auditing of the stand-alone financial statements which include the THECB-administered college student loan programs and the remainder of the organization.  </w:t>
      </w:r>
    </w:p>
    <w:p w14:paraId="3195105C" w14:textId="542C9FC0" w:rsidR="00D72A08" w:rsidRPr="0070056D" w:rsidRDefault="00D72A08" w:rsidP="00D72A08">
      <w:pPr>
        <w:pStyle w:val="NoSpacing"/>
        <w:rPr>
          <w:rFonts w:ascii="Tahoma" w:hAnsi="Tahoma" w:cs="Tahoma"/>
          <w:color w:val="000000"/>
          <w:sz w:val="22"/>
          <w:szCs w:val="22"/>
          <w:shd w:val="clear" w:color="auto" w:fill="FFFFFF"/>
        </w:rPr>
      </w:pPr>
      <w:r w:rsidRPr="0070056D">
        <w:rPr>
          <w:rFonts w:ascii="Tahoma" w:hAnsi="Tahoma" w:cs="Tahoma"/>
          <w:color w:val="000000"/>
          <w:sz w:val="22"/>
          <w:szCs w:val="22"/>
          <w:shd w:val="clear" w:color="auto" w:fill="FFFFFF"/>
        </w:rPr>
        <w:t xml:space="preserve">Are the ‘general-purpose financial statements’ and ‘stand-alone financial statements’ the same in this context or separate deliverables?  </w:t>
      </w:r>
    </w:p>
    <w:p w14:paraId="7E0E4594" w14:textId="1A648A5D" w:rsidR="00D72A08" w:rsidRDefault="00D72A08" w:rsidP="00D72A08">
      <w:pPr>
        <w:pStyle w:val="NoSpacing"/>
        <w:rPr>
          <w:rFonts w:ascii="Tahoma" w:hAnsi="Tahoma" w:cs="Tahoma"/>
          <w:color w:val="000000"/>
          <w:sz w:val="22"/>
          <w:szCs w:val="22"/>
          <w:shd w:val="clear" w:color="auto" w:fill="FFFFFF"/>
        </w:rPr>
      </w:pPr>
      <w:r w:rsidRPr="00405DF8">
        <w:rPr>
          <w:rFonts w:ascii="Tahoma" w:hAnsi="Tahoma" w:cs="Tahoma"/>
          <w:b/>
          <w:bCs/>
          <w:sz w:val="22"/>
          <w:szCs w:val="22"/>
        </w:rPr>
        <w:t>Response:</w:t>
      </w:r>
      <w:r>
        <w:rPr>
          <w:rFonts w:ascii="Tahoma" w:hAnsi="Tahoma" w:cs="Tahoma"/>
          <w:bCs/>
          <w:sz w:val="22"/>
          <w:szCs w:val="22"/>
        </w:rPr>
        <w:t xml:space="preserve"> </w:t>
      </w:r>
      <w:r w:rsidRPr="0070056D">
        <w:rPr>
          <w:rFonts w:ascii="Tahoma" w:hAnsi="Tahoma" w:cs="Tahoma"/>
          <w:color w:val="000000"/>
          <w:sz w:val="22"/>
          <w:szCs w:val="22"/>
          <w:shd w:val="clear" w:color="auto" w:fill="FFFFFF"/>
        </w:rPr>
        <w:t>They are the same.</w:t>
      </w:r>
    </w:p>
    <w:p w14:paraId="1E1CC4F7" w14:textId="50BCED87" w:rsidR="000A5258" w:rsidRDefault="000A5258" w:rsidP="00D72A08">
      <w:pPr>
        <w:pStyle w:val="NoSpacing"/>
        <w:rPr>
          <w:rFonts w:ascii="Tahoma" w:hAnsi="Tahoma" w:cs="Tahoma"/>
          <w:color w:val="000000"/>
          <w:sz w:val="22"/>
          <w:szCs w:val="22"/>
          <w:shd w:val="clear" w:color="auto" w:fill="FFFFFF"/>
        </w:rPr>
      </w:pPr>
    </w:p>
    <w:p w14:paraId="13E12D1A" w14:textId="7064BB2B" w:rsidR="000A5258" w:rsidRDefault="000A5258" w:rsidP="000A5258">
      <w:pPr>
        <w:rPr>
          <w:rFonts w:ascii="Tahoma" w:hAnsi="Tahoma" w:cs="Tahoma"/>
          <w:b/>
          <w:bCs/>
          <w:sz w:val="22"/>
          <w:szCs w:val="22"/>
        </w:rPr>
      </w:pPr>
      <w:bookmarkStart w:id="3" w:name="_Hlk48820223"/>
      <w:r w:rsidRPr="00D72A08">
        <w:rPr>
          <w:rFonts w:ascii="Tahoma" w:hAnsi="Tahoma" w:cs="Tahoma"/>
          <w:b/>
          <w:bCs/>
          <w:sz w:val="22"/>
          <w:szCs w:val="22"/>
        </w:rPr>
        <w:t>Question 1</w:t>
      </w:r>
      <w:r>
        <w:rPr>
          <w:rFonts w:ascii="Tahoma" w:hAnsi="Tahoma" w:cs="Tahoma"/>
          <w:b/>
          <w:bCs/>
          <w:sz w:val="22"/>
          <w:szCs w:val="22"/>
        </w:rPr>
        <w:t>5</w:t>
      </w:r>
      <w:r w:rsidRPr="00D72A08">
        <w:rPr>
          <w:rFonts w:ascii="Tahoma" w:hAnsi="Tahoma" w:cs="Tahoma"/>
          <w:b/>
          <w:bCs/>
          <w:sz w:val="22"/>
          <w:szCs w:val="22"/>
        </w:rPr>
        <w:t>:</w:t>
      </w:r>
    </w:p>
    <w:p w14:paraId="2A0E7746" w14:textId="34842540" w:rsidR="00C341CD" w:rsidRDefault="00C341CD" w:rsidP="00C341CD">
      <w:pPr>
        <w:pStyle w:val="NoSpacing"/>
        <w:rPr>
          <w:rFonts w:ascii="Tahoma" w:hAnsi="Tahoma" w:cs="Tahoma"/>
          <w:color w:val="000000"/>
          <w:sz w:val="22"/>
          <w:szCs w:val="22"/>
          <w:shd w:val="clear" w:color="auto" w:fill="FFFFFF"/>
        </w:rPr>
      </w:pPr>
      <w:r w:rsidRPr="00C341CD">
        <w:rPr>
          <w:rFonts w:ascii="Tahoma" w:hAnsi="Tahoma" w:cs="Tahoma"/>
          <w:color w:val="000000"/>
          <w:sz w:val="22"/>
          <w:szCs w:val="22"/>
          <w:shd w:val="clear" w:color="auto" w:fill="FFFFFF"/>
        </w:rPr>
        <w:t xml:space="preserve">Are there specific requirements, other than GAGAS,  that the entity has to meet in regards to certain controls testing and/or certifications that the audited financial statements are being used for ( such as Texas Administrative Code requirements or FISMA requirements) that would require testing of IT system controls?  </w:t>
      </w:r>
    </w:p>
    <w:p w14:paraId="7285CDA1" w14:textId="77777777" w:rsidR="00C341CD" w:rsidRPr="00C341CD" w:rsidRDefault="00C341CD" w:rsidP="00C341CD">
      <w:pPr>
        <w:autoSpaceDE w:val="0"/>
        <w:autoSpaceDN w:val="0"/>
        <w:rPr>
          <w:rFonts w:ascii="Tahoma" w:hAnsi="Tahoma" w:cs="Tahoma"/>
          <w:color w:val="000000"/>
          <w:sz w:val="22"/>
          <w:szCs w:val="22"/>
          <w:shd w:val="clear" w:color="auto" w:fill="FFFFFF"/>
        </w:rPr>
      </w:pPr>
      <w:r w:rsidRPr="00C341CD">
        <w:rPr>
          <w:rFonts w:ascii="Tahoma" w:hAnsi="Tahoma" w:cs="Tahoma"/>
          <w:b/>
          <w:bCs/>
          <w:sz w:val="22"/>
          <w:szCs w:val="22"/>
        </w:rPr>
        <w:t>Response:</w:t>
      </w:r>
      <w:r>
        <w:rPr>
          <w:rFonts w:ascii="Tahoma" w:hAnsi="Tahoma" w:cs="Tahoma"/>
          <w:color w:val="000000"/>
          <w:sz w:val="22"/>
          <w:szCs w:val="22"/>
          <w:shd w:val="clear" w:color="auto" w:fill="FFFFFF"/>
        </w:rPr>
        <w:t xml:space="preserve"> </w:t>
      </w:r>
      <w:r w:rsidRPr="00C341CD">
        <w:rPr>
          <w:rFonts w:ascii="Tahoma" w:hAnsi="Tahoma" w:cs="Tahoma"/>
          <w:color w:val="000000"/>
          <w:sz w:val="22"/>
          <w:szCs w:val="22"/>
          <w:shd w:val="clear" w:color="auto" w:fill="FFFFFF"/>
        </w:rPr>
        <w:t>There are no other requirements beyond what is specified in the RFQ.</w:t>
      </w:r>
    </w:p>
    <w:p w14:paraId="7286539A" w14:textId="558AD67C" w:rsidR="00C341CD" w:rsidRDefault="00C341CD" w:rsidP="00C341CD">
      <w:pPr>
        <w:rPr>
          <w:rFonts w:ascii="Tahoma" w:hAnsi="Tahoma" w:cs="Tahoma"/>
          <w:b/>
          <w:bCs/>
          <w:sz w:val="22"/>
          <w:szCs w:val="22"/>
        </w:rPr>
      </w:pPr>
      <w:r w:rsidRPr="00D72A08">
        <w:rPr>
          <w:rFonts w:ascii="Tahoma" w:hAnsi="Tahoma" w:cs="Tahoma"/>
          <w:b/>
          <w:bCs/>
          <w:sz w:val="22"/>
          <w:szCs w:val="22"/>
        </w:rPr>
        <w:lastRenderedPageBreak/>
        <w:t>Question 1</w:t>
      </w:r>
      <w:r>
        <w:rPr>
          <w:rFonts w:ascii="Tahoma" w:hAnsi="Tahoma" w:cs="Tahoma"/>
          <w:b/>
          <w:bCs/>
          <w:sz w:val="22"/>
          <w:szCs w:val="22"/>
        </w:rPr>
        <w:t>6</w:t>
      </w:r>
      <w:r w:rsidRPr="00D72A08">
        <w:rPr>
          <w:rFonts w:ascii="Tahoma" w:hAnsi="Tahoma" w:cs="Tahoma"/>
          <w:b/>
          <w:bCs/>
          <w:sz w:val="22"/>
          <w:szCs w:val="22"/>
        </w:rPr>
        <w:t>:</w:t>
      </w:r>
    </w:p>
    <w:p w14:paraId="024F1417" w14:textId="77777777" w:rsidR="00C341CD" w:rsidRPr="00C341CD" w:rsidRDefault="00C341CD" w:rsidP="00C341CD">
      <w:pPr>
        <w:rPr>
          <w:rFonts w:ascii="Tahoma" w:hAnsi="Tahoma" w:cs="Tahoma"/>
          <w:color w:val="000000"/>
          <w:sz w:val="22"/>
          <w:szCs w:val="22"/>
          <w:shd w:val="clear" w:color="auto" w:fill="FFFFFF"/>
        </w:rPr>
      </w:pPr>
      <w:r w:rsidRPr="00C341CD">
        <w:rPr>
          <w:rFonts w:ascii="Tahoma" w:hAnsi="Tahoma" w:cs="Tahoma"/>
          <w:color w:val="000000"/>
          <w:sz w:val="22"/>
          <w:szCs w:val="22"/>
          <w:shd w:val="clear" w:color="auto" w:fill="FFFFFF"/>
        </w:rPr>
        <w:t>What is the current level of IT work in the financial statement audit, specifically number and name of applications typically tested under the scope of the financial statement audit for IT General Controls  (i.e. general ledger system, loan system, etc.), and  how many key application level controls are being tested within these systems?</w:t>
      </w:r>
    </w:p>
    <w:p w14:paraId="343773A8" w14:textId="77777777" w:rsidR="00C341CD" w:rsidRPr="00C341CD" w:rsidRDefault="00C341CD" w:rsidP="00C341CD">
      <w:pPr>
        <w:rPr>
          <w:rFonts w:ascii="Tahoma" w:hAnsi="Tahoma" w:cs="Tahoma"/>
          <w:color w:val="000000"/>
          <w:shd w:val="clear" w:color="auto" w:fill="FFFFFF"/>
        </w:rPr>
      </w:pPr>
      <w:r w:rsidRPr="00C341CD">
        <w:rPr>
          <w:rFonts w:ascii="Tahoma" w:hAnsi="Tahoma" w:cs="Tahoma"/>
          <w:b/>
          <w:bCs/>
          <w:sz w:val="22"/>
          <w:szCs w:val="22"/>
        </w:rPr>
        <w:t>Response:</w:t>
      </w:r>
      <w:r w:rsidRPr="00C341CD">
        <w:rPr>
          <w:rFonts w:ascii="Tahoma" w:hAnsi="Tahoma" w:cs="Tahoma"/>
          <w:color w:val="000000"/>
          <w:shd w:val="clear" w:color="auto" w:fill="FFFFFF"/>
        </w:rPr>
        <w:t xml:space="preserve"> </w:t>
      </w:r>
      <w:r w:rsidRPr="00C341CD">
        <w:rPr>
          <w:rFonts w:ascii="Tahoma" w:hAnsi="Tahoma" w:cs="Tahoma"/>
          <w:color w:val="000000"/>
          <w:sz w:val="22"/>
          <w:szCs w:val="22"/>
          <w:shd w:val="clear" w:color="auto" w:fill="FFFFFF"/>
        </w:rPr>
        <w:t>IT controls both general and application are tested to the extent necessary for the auditor to opine on the statements.  Auditors presently test the general ledger system, loan system, and payroll system as well as general information technology controls.</w:t>
      </w:r>
    </w:p>
    <w:bookmarkEnd w:id="3"/>
    <w:p w14:paraId="4C95E742" w14:textId="4A533919" w:rsidR="00C341CD" w:rsidRDefault="00C341CD" w:rsidP="00C341CD">
      <w:pPr>
        <w:autoSpaceDE w:val="0"/>
        <w:autoSpaceDN w:val="0"/>
        <w:rPr>
          <w:rFonts w:ascii="Tahoma" w:hAnsi="Tahoma" w:cs="Tahoma"/>
          <w:color w:val="000000"/>
          <w:sz w:val="22"/>
          <w:szCs w:val="22"/>
          <w:shd w:val="clear" w:color="auto" w:fill="FFFFFF"/>
        </w:rPr>
      </w:pPr>
    </w:p>
    <w:p w14:paraId="29BCEF0F" w14:textId="3BE754AA" w:rsidR="00C341CD" w:rsidRDefault="00C341CD" w:rsidP="00C341CD">
      <w:pPr>
        <w:rPr>
          <w:rFonts w:ascii="Tahoma" w:hAnsi="Tahoma" w:cs="Tahoma"/>
          <w:b/>
          <w:bCs/>
          <w:sz w:val="22"/>
          <w:szCs w:val="22"/>
        </w:rPr>
      </w:pPr>
      <w:bookmarkStart w:id="4" w:name="_Hlk48820088"/>
      <w:r w:rsidRPr="00D72A08">
        <w:rPr>
          <w:rFonts w:ascii="Tahoma" w:hAnsi="Tahoma" w:cs="Tahoma"/>
          <w:b/>
          <w:bCs/>
          <w:sz w:val="22"/>
          <w:szCs w:val="22"/>
        </w:rPr>
        <w:t>Question 1</w:t>
      </w:r>
      <w:r>
        <w:rPr>
          <w:rFonts w:ascii="Tahoma" w:hAnsi="Tahoma" w:cs="Tahoma"/>
          <w:b/>
          <w:bCs/>
          <w:sz w:val="22"/>
          <w:szCs w:val="22"/>
        </w:rPr>
        <w:t>7</w:t>
      </w:r>
      <w:r w:rsidRPr="00D72A08">
        <w:rPr>
          <w:rFonts w:ascii="Tahoma" w:hAnsi="Tahoma" w:cs="Tahoma"/>
          <w:b/>
          <w:bCs/>
          <w:sz w:val="22"/>
          <w:szCs w:val="22"/>
        </w:rPr>
        <w:t>:</w:t>
      </w:r>
    </w:p>
    <w:p w14:paraId="3E48CA0A" w14:textId="77777777" w:rsidR="00C341CD" w:rsidRPr="00C341CD" w:rsidRDefault="00C341CD" w:rsidP="00C341CD">
      <w:pPr>
        <w:rPr>
          <w:rFonts w:ascii="Tahoma" w:hAnsi="Tahoma" w:cs="Tahoma"/>
          <w:color w:val="000000"/>
          <w:sz w:val="22"/>
          <w:szCs w:val="22"/>
          <w:shd w:val="clear" w:color="auto" w:fill="FFFFFF"/>
        </w:rPr>
      </w:pPr>
      <w:r w:rsidRPr="00C341CD">
        <w:rPr>
          <w:rFonts w:ascii="Tahoma" w:hAnsi="Tahoma" w:cs="Tahoma"/>
          <w:color w:val="000000"/>
          <w:sz w:val="22"/>
          <w:szCs w:val="22"/>
          <w:shd w:val="clear" w:color="auto" w:fill="FFFFFF"/>
        </w:rPr>
        <w:t>Section 2.2.3 Management Component – item 6 “Provide the status of any disciplinary action taken against the respondent by the Texas State Board of Public Accountancy and/or licensing boards of other states;”  As a national firm, it is acceptable to the Board to provide actions for only the State of Texas? </w:t>
      </w:r>
    </w:p>
    <w:p w14:paraId="6F448677" w14:textId="028E2479" w:rsidR="00C341CD" w:rsidRDefault="00C341CD" w:rsidP="00C341CD">
      <w:pPr>
        <w:rPr>
          <w:rFonts w:ascii="Tahoma" w:hAnsi="Tahoma" w:cs="Tahoma"/>
          <w:color w:val="000000"/>
          <w:sz w:val="22"/>
          <w:szCs w:val="22"/>
          <w:shd w:val="clear" w:color="auto" w:fill="FFFFFF"/>
        </w:rPr>
      </w:pPr>
      <w:r w:rsidRPr="00C341CD">
        <w:rPr>
          <w:rFonts w:ascii="Tahoma" w:hAnsi="Tahoma" w:cs="Tahoma"/>
          <w:b/>
          <w:bCs/>
          <w:sz w:val="22"/>
          <w:szCs w:val="22"/>
        </w:rPr>
        <w:t>Response:</w:t>
      </w:r>
      <w:r w:rsidRPr="00C341CD">
        <w:rPr>
          <w:rFonts w:ascii="Tahoma" w:hAnsi="Tahoma" w:cs="Tahoma"/>
          <w:color w:val="000000"/>
          <w:sz w:val="22"/>
          <w:szCs w:val="22"/>
          <w:shd w:val="clear" w:color="auto" w:fill="FFFFFF"/>
        </w:rPr>
        <w:t xml:space="preserve"> Please provide the status of disciplinary action taken against the respondent by the TSBPA and/or licensing boards of other states.  The response may differentiate whether the disciplinary action is by the TSBPA or other licensing entities.</w:t>
      </w:r>
    </w:p>
    <w:p w14:paraId="2219F2E0" w14:textId="3362883F" w:rsidR="00C341CD" w:rsidRDefault="00C341CD" w:rsidP="00C341CD">
      <w:pPr>
        <w:rPr>
          <w:rFonts w:ascii="Tahoma" w:hAnsi="Tahoma" w:cs="Tahoma"/>
          <w:color w:val="000000"/>
          <w:sz w:val="22"/>
          <w:szCs w:val="22"/>
          <w:shd w:val="clear" w:color="auto" w:fill="FFFFFF"/>
        </w:rPr>
      </w:pPr>
    </w:p>
    <w:p w14:paraId="335F3B2C" w14:textId="79CA7930" w:rsidR="00C341CD" w:rsidRDefault="00C341CD" w:rsidP="00C341CD">
      <w:pPr>
        <w:rPr>
          <w:rFonts w:ascii="Tahoma" w:hAnsi="Tahoma" w:cs="Tahoma"/>
          <w:b/>
          <w:bCs/>
          <w:sz w:val="22"/>
          <w:szCs w:val="22"/>
        </w:rPr>
      </w:pPr>
      <w:r w:rsidRPr="00D72A08">
        <w:rPr>
          <w:rFonts w:ascii="Tahoma" w:hAnsi="Tahoma" w:cs="Tahoma"/>
          <w:b/>
          <w:bCs/>
          <w:sz w:val="22"/>
          <w:szCs w:val="22"/>
        </w:rPr>
        <w:t>Question 1</w:t>
      </w:r>
      <w:r>
        <w:rPr>
          <w:rFonts w:ascii="Tahoma" w:hAnsi="Tahoma" w:cs="Tahoma"/>
          <w:b/>
          <w:bCs/>
          <w:sz w:val="22"/>
          <w:szCs w:val="22"/>
        </w:rPr>
        <w:t>8</w:t>
      </w:r>
      <w:r w:rsidRPr="00D72A08">
        <w:rPr>
          <w:rFonts w:ascii="Tahoma" w:hAnsi="Tahoma" w:cs="Tahoma"/>
          <w:b/>
          <w:bCs/>
          <w:sz w:val="22"/>
          <w:szCs w:val="22"/>
        </w:rPr>
        <w:t>:</w:t>
      </w:r>
    </w:p>
    <w:p w14:paraId="6657BDA0" w14:textId="28B59AC8" w:rsidR="00C341CD" w:rsidRPr="00C341CD" w:rsidRDefault="00C341CD" w:rsidP="00C341CD">
      <w:pPr>
        <w:pStyle w:val="NoSpacing"/>
        <w:rPr>
          <w:rFonts w:ascii="Tahoma" w:hAnsi="Tahoma" w:cs="Tahoma"/>
          <w:color w:val="000000"/>
          <w:sz w:val="22"/>
          <w:szCs w:val="22"/>
          <w:shd w:val="clear" w:color="auto" w:fill="FFFFFF"/>
        </w:rPr>
      </w:pPr>
      <w:r w:rsidRPr="00C341CD">
        <w:rPr>
          <w:rFonts w:ascii="Tahoma" w:hAnsi="Tahoma" w:cs="Tahoma"/>
          <w:color w:val="000000"/>
          <w:sz w:val="22"/>
          <w:szCs w:val="22"/>
          <w:shd w:val="clear" w:color="auto" w:fill="FFFFFF"/>
        </w:rPr>
        <w:t>Section 2.2.3 Management Component – item 9 – Does the Board have a requirement or a set goal for the use a subcontractor?  What percentage was subcontracted in the previous year(s)?</w:t>
      </w:r>
    </w:p>
    <w:p w14:paraId="32E7707A" w14:textId="1BECCBEB" w:rsidR="00C341CD" w:rsidRPr="00C341CD" w:rsidRDefault="00C341CD" w:rsidP="00C341CD">
      <w:pPr>
        <w:pStyle w:val="NoSpacing"/>
        <w:rPr>
          <w:rFonts w:ascii="Tahoma" w:hAnsi="Tahoma" w:cs="Tahoma"/>
          <w:color w:val="000000"/>
          <w:sz w:val="22"/>
          <w:szCs w:val="22"/>
          <w:shd w:val="clear" w:color="auto" w:fill="FFFFFF"/>
        </w:rPr>
      </w:pPr>
      <w:r w:rsidRPr="00C341CD">
        <w:rPr>
          <w:rFonts w:ascii="Tahoma" w:hAnsi="Tahoma" w:cs="Tahoma"/>
          <w:b/>
          <w:bCs/>
          <w:color w:val="000000"/>
          <w:sz w:val="22"/>
          <w:szCs w:val="22"/>
          <w:shd w:val="clear" w:color="auto" w:fill="FFFFFF"/>
        </w:rPr>
        <w:t>Response:</w:t>
      </w:r>
      <w:r w:rsidRPr="00C341CD">
        <w:rPr>
          <w:rFonts w:ascii="Tahoma" w:hAnsi="Tahoma" w:cs="Tahoma"/>
          <w:color w:val="000000"/>
          <w:sz w:val="22"/>
          <w:szCs w:val="22"/>
          <w:shd w:val="clear" w:color="auto" w:fill="FFFFFF"/>
        </w:rPr>
        <w:t xml:space="preserve"> No minimum.  Report the extent of HUB used and identify.</w:t>
      </w:r>
    </w:p>
    <w:p w14:paraId="4CE03168" w14:textId="20EB73B2" w:rsidR="00C341CD" w:rsidRDefault="00C341CD" w:rsidP="00C341CD">
      <w:pPr>
        <w:rPr>
          <w:color w:val="1F497D"/>
        </w:rPr>
      </w:pPr>
    </w:p>
    <w:p w14:paraId="4E1BD6F1" w14:textId="4DE3D26B" w:rsidR="00C341CD" w:rsidRDefault="00C341CD" w:rsidP="00C341CD">
      <w:pPr>
        <w:rPr>
          <w:rFonts w:ascii="Tahoma" w:hAnsi="Tahoma" w:cs="Tahoma"/>
          <w:b/>
          <w:bCs/>
          <w:sz w:val="22"/>
          <w:szCs w:val="22"/>
        </w:rPr>
      </w:pPr>
      <w:r w:rsidRPr="00D72A08">
        <w:rPr>
          <w:rFonts w:ascii="Tahoma" w:hAnsi="Tahoma" w:cs="Tahoma"/>
          <w:b/>
          <w:bCs/>
          <w:sz w:val="22"/>
          <w:szCs w:val="22"/>
        </w:rPr>
        <w:t>Question 1</w:t>
      </w:r>
      <w:r>
        <w:rPr>
          <w:rFonts w:ascii="Tahoma" w:hAnsi="Tahoma" w:cs="Tahoma"/>
          <w:b/>
          <w:bCs/>
          <w:sz w:val="22"/>
          <w:szCs w:val="22"/>
        </w:rPr>
        <w:t>9</w:t>
      </w:r>
      <w:r w:rsidRPr="00D72A08">
        <w:rPr>
          <w:rFonts w:ascii="Tahoma" w:hAnsi="Tahoma" w:cs="Tahoma"/>
          <w:b/>
          <w:bCs/>
          <w:sz w:val="22"/>
          <w:szCs w:val="22"/>
        </w:rPr>
        <w:t>:</w:t>
      </w:r>
    </w:p>
    <w:p w14:paraId="305EF007" w14:textId="77777777" w:rsidR="00C341CD" w:rsidRDefault="00C341CD" w:rsidP="00C341CD">
      <w:pPr>
        <w:rPr>
          <w:rFonts w:ascii="Tahoma" w:hAnsi="Tahoma" w:cs="Tahoma"/>
          <w:color w:val="000000"/>
          <w:sz w:val="22"/>
          <w:szCs w:val="22"/>
          <w:shd w:val="clear" w:color="auto" w:fill="FFFFFF"/>
        </w:rPr>
      </w:pPr>
      <w:r w:rsidRPr="00C341CD">
        <w:rPr>
          <w:rFonts w:ascii="Tahoma" w:hAnsi="Tahoma" w:cs="Tahoma"/>
          <w:color w:val="000000"/>
          <w:sz w:val="22"/>
          <w:szCs w:val="22"/>
          <w:shd w:val="clear" w:color="auto" w:fill="FFFFFF"/>
        </w:rPr>
        <w:t>Section 2.2.3 Management Component – item 12 – What is the Board expectation with regards to the use of Internal Audit?  Does internal audit currently provide support to the outside audit team?  If yes, what is the total effort in hours?  </w:t>
      </w:r>
    </w:p>
    <w:p w14:paraId="73D2CBDD" w14:textId="65AA0BE6" w:rsidR="00C341CD" w:rsidRDefault="00C341CD" w:rsidP="00C341CD">
      <w:pPr>
        <w:rPr>
          <w:rFonts w:ascii="Tahoma" w:hAnsi="Tahoma" w:cs="Tahoma"/>
          <w:color w:val="000000"/>
          <w:sz w:val="22"/>
          <w:szCs w:val="22"/>
          <w:shd w:val="clear" w:color="auto" w:fill="FFFFFF"/>
        </w:rPr>
      </w:pPr>
      <w:r w:rsidRPr="00C341CD">
        <w:rPr>
          <w:rFonts w:ascii="Tahoma" w:hAnsi="Tahoma" w:cs="Tahoma"/>
          <w:b/>
          <w:bCs/>
          <w:color w:val="000000"/>
          <w:sz w:val="22"/>
          <w:szCs w:val="22"/>
          <w:shd w:val="clear" w:color="auto" w:fill="FFFFFF"/>
        </w:rPr>
        <w:t>Response:</w:t>
      </w:r>
      <w:r w:rsidRPr="00C341CD">
        <w:rPr>
          <w:rFonts w:ascii="Tahoma" w:hAnsi="Tahoma" w:cs="Tahoma"/>
          <w:color w:val="000000"/>
          <w:sz w:val="22"/>
          <w:szCs w:val="22"/>
          <w:shd w:val="clear" w:color="auto" w:fill="FFFFFF"/>
        </w:rPr>
        <w:t xml:space="preserve"> The </w:t>
      </w:r>
      <w:r>
        <w:rPr>
          <w:rFonts w:ascii="Tahoma" w:hAnsi="Tahoma" w:cs="Tahoma"/>
          <w:color w:val="000000"/>
          <w:sz w:val="22"/>
          <w:szCs w:val="22"/>
          <w:shd w:val="clear" w:color="auto" w:fill="FFFFFF"/>
        </w:rPr>
        <w:t>THECB</w:t>
      </w:r>
      <w:r w:rsidRPr="00C341CD">
        <w:rPr>
          <w:rFonts w:ascii="Tahoma" w:hAnsi="Tahoma" w:cs="Tahoma"/>
          <w:color w:val="000000"/>
          <w:sz w:val="22"/>
          <w:szCs w:val="22"/>
          <w:shd w:val="clear" w:color="auto" w:fill="FFFFFF"/>
        </w:rPr>
        <w:t xml:space="preserve"> has historically provided 50 hours of Internal Audit staff support to benefit both the external auditor and the Internal Audit function.</w:t>
      </w:r>
    </w:p>
    <w:p w14:paraId="763614E7" w14:textId="13CCE139" w:rsidR="00C341CD" w:rsidRDefault="00C341CD" w:rsidP="00C341CD">
      <w:pPr>
        <w:rPr>
          <w:rFonts w:ascii="Tahoma" w:hAnsi="Tahoma" w:cs="Tahoma"/>
          <w:color w:val="000000"/>
          <w:sz w:val="22"/>
          <w:szCs w:val="22"/>
          <w:shd w:val="clear" w:color="auto" w:fill="FFFFFF"/>
        </w:rPr>
      </w:pPr>
    </w:p>
    <w:p w14:paraId="2DA4A6F5" w14:textId="454AD040" w:rsidR="00C341CD" w:rsidRDefault="00C341CD" w:rsidP="00C341CD">
      <w:pPr>
        <w:rPr>
          <w:rFonts w:ascii="Tahoma" w:hAnsi="Tahoma" w:cs="Tahoma"/>
          <w:b/>
          <w:bCs/>
          <w:sz w:val="22"/>
          <w:szCs w:val="22"/>
        </w:rPr>
      </w:pPr>
      <w:r w:rsidRPr="00D72A08">
        <w:rPr>
          <w:rFonts w:ascii="Tahoma" w:hAnsi="Tahoma" w:cs="Tahoma"/>
          <w:b/>
          <w:bCs/>
          <w:sz w:val="22"/>
          <w:szCs w:val="22"/>
        </w:rPr>
        <w:t xml:space="preserve">Question </w:t>
      </w:r>
      <w:r>
        <w:rPr>
          <w:rFonts w:ascii="Tahoma" w:hAnsi="Tahoma" w:cs="Tahoma"/>
          <w:b/>
          <w:bCs/>
          <w:sz w:val="22"/>
          <w:szCs w:val="22"/>
        </w:rPr>
        <w:t>20</w:t>
      </w:r>
      <w:r w:rsidRPr="00D72A08">
        <w:rPr>
          <w:rFonts w:ascii="Tahoma" w:hAnsi="Tahoma" w:cs="Tahoma"/>
          <w:b/>
          <w:bCs/>
          <w:sz w:val="22"/>
          <w:szCs w:val="22"/>
        </w:rPr>
        <w:t>:</w:t>
      </w:r>
    </w:p>
    <w:p w14:paraId="112DF9A6" w14:textId="5B0D04F1" w:rsidR="00C341CD" w:rsidRDefault="00C341CD" w:rsidP="00C341CD">
      <w:pPr>
        <w:rPr>
          <w:rFonts w:ascii="Tahoma" w:hAnsi="Tahoma" w:cs="Tahoma"/>
          <w:color w:val="000000"/>
          <w:sz w:val="22"/>
          <w:szCs w:val="22"/>
          <w:shd w:val="clear" w:color="auto" w:fill="FFFFFF"/>
        </w:rPr>
      </w:pPr>
      <w:r w:rsidRPr="00C341CD">
        <w:rPr>
          <w:rFonts w:ascii="Tahoma" w:hAnsi="Tahoma" w:cs="Tahoma"/>
          <w:color w:val="000000"/>
          <w:sz w:val="22"/>
          <w:szCs w:val="22"/>
          <w:shd w:val="clear" w:color="auto" w:fill="FFFFFF"/>
        </w:rPr>
        <w:t xml:space="preserve">Section 2.3 Deliverables - Respondents must be available to begin the engagement preparatory activities on October 1, 2020.  What has been the timing for interim and final fieldwork testing in past audits?  Does management have a preference on the timing? </w:t>
      </w:r>
    </w:p>
    <w:p w14:paraId="78E3CB6D" w14:textId="0C9FE349" w:rsidR="00C341CD" w:rsidRPr="00C341CD" w:rsidRDefault="00C341CD" w:rsidP="00C341CD">
      <w:pPr>
        <w:rPr>
          <w:rFonts w:ascii="Tahoma" w:hAnsi="Tahoma" w:cs="Tahoma"/>
          <w:color w:val="000000"/>
          <w:sz w:val="22"/>
          <w:szCs w:val="22"/>
          <w:shd w:val="clear" w:color="auto" w:fill="FFFFFF"/>
        </w:rPr>
      </w:pPr>
      <w:r w:rsidRPr="0068571D">
        <w:rPr>
          <w:rFonts w:ascii="Tahoma" w:hAnsi="Tahoma" w:cs="Tahoma"/>
          <w:b/>
          <w:bCs/>
          <w:color w:val="000000"/>
          <w:sz w:val="22"/>
          <w:szCs w:val="22"/>
          <w:shd w:val="clear" w:color="auto" w:fill="FFFFFF"/>
        </w:rPr>
        <w:t>Response</w:t>
      </w:r>
      <w:r>
        <w:rPr>
          <w:rFonts w:ascii="Tahoma" w:hAnsi="Tahoma" w:cs="Tahoma"/>
          <w:color w:val="000000"/>
          <w:sz w:val="22"/>
          <w:szCs w:val="22"/>
          <w:shd w:val="clear" w:color="auto" w:fill="FFFFFF"/>
        </w:rPr>
        <w:t xml:space="preserve">: </w:t>
      </w:r>
      <w:r w:rsidRPr="00C341CD">
        <w:rPr>
          <w:rFonts w:ascii="Tahoma" w:hAnsi="Tahoma" w:cs="Tahoma"/>
          <w:color w:val="000000"/>
          <w:sz w:val="22"/>
          <w:szCs w:val="22"/>
          <w:shd w:val="clear" w:color="auto" w:fill="FFFFFF"/>
        </w:rPr>
        <w:t xml:space="preserve">Interim testing has been performed on significant IT controls, on or proximate to fiscal year end.  Other fieldwork has been performed in the March-May timeframe.  The </w:t>
      </w:r>
      <w:r w:rsidR="0068571D">
        <w:rPr>
          <w:rFonts w:ascii="Tahoma" w:hAnsi="Tahoma" w:cs="Tahoma"/>
          <w:color w:val="000000"/>
          <w:sz w:val="22"/>
          <w:szCs w:val="22"/>
          <w:shd w:val="clear" w:color="auto" w:fill="FFFFFF"/>
        </w:rPr>
        <w:t xml:space="preserve">THECB </w:t>
      </w:r>
      <w:r w:rsidRPr="00C341CD">
        <w:rPr>
          <w:rFonts w:ascii="Tahoma" w:hAnsi="Tahoma" w:cs="Tahoma"/>
          <w:color w:val="000000"/>
          <w:sz w:val="22"/>
          <w:szCs w:val="22"/>
          <w:shd w:val="clear" w:color="auto" w:fill="FFFFFF"/>
        </w:rPr>
        <w:t>is willing to consider timeframes proposed by the respondent, given the constraints of financial reporting deadlines, holidays, etc.</w:t>
      </w:r>
    </w:p>
    <w:p w14:paraId="36B71FBE" w14:textId="2A499DB2" w:rsidR="00C341CD" w:rsidRDefault="00C341CD" w:rsidP="00C341CD"/>
    <w:p w14:paraId="47F8A4D7" w14:textId="1B48FC3E" w:rsidR="0068571D" w:rsidRDefault="0068571D" w:rsidP="0068571D">
      <w:pPr>
        <w:rPr>
          <w:rFonts w:ascii="Tahoma" w:hAnsi="Tahoma" w:cs="Tahoma"/>
          <w:b/>
          <w:bCs/>
          <w:sz w:val="22"/>
          <w:szCs w:val="22"/>
        </w:rPr>
      </w:pPr>
      <w:r w:rsidRPr="00D72A08">
        <w:rPr>
          <w:rFonts w:ascii="Tahoma" w:hAnsi="Tahoma" w:cs="Tahoma"/>
          <w:b/>
          <w:bCs/>
          <w:sz w:val="22"/>
          <w:szCs w:val="22"/>
        </w:rPr>
        <w:t xml:space="preserve">Question </w:t>
      </w:r>
      <w:r>
        <w:rPr>
          <w:rFonts w:ascii="Tahoma" w:hAnsi="Tahoma" w:cs="Tahoma"/>
          <w:b/>
          <w:bCs/>
          <w:sz w:val="22"/>
          <w:szCs w:val="22"/>
        </w:rPr>
        <w:t>21</w:t>
      </w:r>
      <w:r w:rsidRPr="00D72A08">
        <w:rPr>
          <w:rFonts w:ascii="Tahoma" w:hAnsi="Tahoma" w:cs="Tahoma"/>
          <w:b/>
          <w:bCs/>
          <w:sz w:val="22"/>
          <w:szCs w:val="22"/>
        </w:rPr>
        <w:t>:</w:t>
      </w:r>
    </w:p>
    <w:p w14:paraId="293A1519" w14:textId="77777777" w:rsidR="0068571D" w:rsidRDefault="00C341CD" w:rsidP="0068571D">
      <w:pPr>
        <w:rPr>
          <w:rFonts w:ascii="Tahoma" w:hAnsi="Tahoma" w:cs="Tahoma"/>
          <w:color w:val="000000"/>
          <w:sz w:val="22"/>
          <w:szCs w:val="22"/>
          <w:shd w:val="clear" w:color="auto" w:fill="FFFFFF"/>
        </w:rPr>
      </w:pPr>
      <w:r w:rsidRPr="0068571D">
        <w:rPr>
          <w:rFonts w:ascii="Tahoma" w:hAnsi="Tahoma" w:cs="Tahoma"/>
          <w:color w:val="000000"/>
          <w:sz w:val="22"/>
          <w:szCs w:val="22"/>
          <w:shd w:val="clear" w:color="auto" w:fill="FFFFFF"/>
        </w:rPr>
        <w:t>Can you clarify if THECB wants fees to be include in the response for request for qualifications, if so, do you want fees for all years and is there a preferred format?  </w:t>
      </w:r>
    </w:p>
    <w:p w14:paraId="56001566" w14:textId="04DA6FAC" w:rsidR="00C341CD" w:rsidRPr="0068571D" w:rsidRDefault="0068571D" w:rsidP="0068571D">
      <w:pPr>
        <w:rPr>
          <w:rFonts w:ascii="Tahoma" w:hAnsi="Tahoma" w:cs="Tahoma"/>
          <w:color w:val="000000"/>
          <w:sz w:val="22"/>
          <w:szCs w:val="22"/>
          <w:shd w:val="clear" w:color="auto" w:fill="FFFFFF"/>
        </w:rPr>
      </w:pPr>
      <w:r w:rsidRPr="0068571D">
        <w:rPr>
          <w:rFonts w:ascii="Tahoma" w:hAnsi="Tahoma" w:cs="Tahoma"/>
          <w:b/>
          <w:bCs/>
          <w:color w:val="000000"/>
          <w:sz w:val="22"/>
          <w:szCs w:val="22"/>
          <w:shd w:val="clear" w:color="auto" w:fill="FFFFFF"/>
        </w:rPr>
        <w:t>Response:</w:t>
      </w:r>
      <w:r>
        <w:rPr>
          <w:rFonts w:ascii="Tahoma" w:hAnsi="Tahoma" w:cs="Tahoma"/>
          <w:color w:val="000000"/>
          <w:sz w:val="22"/>
          <w:szCs w:val="22"/>
          <w:shd w:val="clear" w:color="auto" w:fill="FFFFFF"/>
        </w:rPr>
        <w:t xml:space="preserve"> </w:t>
      </w:r>
      <w:r w:rsidR="00C341CD" w:rsidRPr="0068571D">
        <w:rPr>
          <w:rFonts w:ascii="Tahoma" w:hAnsi="Tahoma" w:cs="Tahoma"/>
          <w:color w:val="000000"/>
          <w:sz w:val="22"/>
          <w:szCs w:val="22"/>
          <w:shd w:val="clear" w:color="auto" w:fill="FFFFFF"/>
        </w:rPr>
        <w:t>Proposed fees are a required element of the RFQ response and should address the contract term as well as the renewal periods identified in the RFQ.</w:t>
      </w:r>
    </w:p>
    <w:bookmarkEnd w:id="4"/>
    <w:p w14:paraId="018E8517" w14:textId="77777777" w:rsidR="00C341CD" w:rsidRPr="00C341CD" w:rsidRDefault="00C341CD" w:rsidP="00C341CD">
      <w:pPr>
        <w:autoSpaceDE w:val="0"/>
        <w:autoSpaceDN w:val="0"/>
        <w:rPr>
          <w:rFonts w:ascii="Tahoma" w:hAnsi="Tahoma" w:cs="Tahoma"/>
          <w:color w:val="000000"/>
          <w:sz w:val="22"/>
          <w:szCs w:val="22"/>
          <w:shd w:val="clear" w:color="auto" w:fill="FFFFFF"/>
        </w:rPr>
      </w:pPr>
    </w:p>
    <w:p w14:paraId="636D5535" w14:textId="77777777" w:rsidR="000A5258" w:rsidRPr="00D72A08" w:rsidRDefault="000A5258" w:rsidP="000A5258">
      <w:pPr>
        <w:rPr>
          <w:rFonts w:ascii="Tahoma" w:hAnsi="Tahoma" w:cs="Tahoma"/>
          <w:b/>
          <w:bCs/>
          <w:sz w:val="22"/>
          <w:szCs w:val="22"/>
        </w:rPr>
      </w:pPr>
    </w:p>
    <w:p w14:paraId="7AF13DEA" w14:textId="77777777" w:rsidR="000A5258" w:rsidRPr="00FC30B8" w:rsidRDefault="000A5258" w:rsidP="00D72A08">
      <w:pPr>
        <w:pStyle w:val="NoSpacing"/>
        <w:rPr>
          <w:rFonts w:ascii="Tahoma" w:hAnsi="Tahoma" w:cs="Tahoma"/>
          <w:color w:val="000000"/>
          <w:sz w:val="22"/>
          <w:szCs w:val="22"/>
          <w:shd w:val="clear" w:color="auto" w:fill="FFFFFF"/>
        </w:rPr>
      </w:pPr>
    </w:p>
    <w:sectPr w:rsidR="000A5258" w:rsidRPr="00FC30B8" w:rsidSect="005F0C07">
      <w:footerReference w:type="default" r:id="rId16"/>
      <w:pgSz w:w="12240" w:h="15840"/>
      <w:pgMar w:top="990" w:right="1260" w:bottom="1440" w:left="135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9DB1D" w14:textId="77777777" w:rsidR="009F0876" w:rsidRDefault="009F0876" w:rsidP="0060606E">
      <w:r>
        <w:separator/>
      </w:r>
    </w:p>
  </w:endnote>
  <w:endnote w:type="continuationSeparator" w:id="0">
    <w:p w14:paraId="407E280D" w14:textId="77777777" w:rsidR="009F0876" w:rsidRDefault="009F0876" w:rsidP="00606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ahoma" w:hAnsi="Tahoma" w:cs="Tahoma"/>
        <w:sz w:val="16"/>
        <w:szCs w:val="16"/>
      </w:rPr>
      <w:id w:val="-1888641957"/>
      <w:docPartObj>
        <w:docPartGallery w:val="Page Numbers (Bottom of Page)"/>
        <w:docPartUnique/>
      </w:docPartObj>
    </w:sdtPr>
    <w:sdtEndPr/>
    <w:sdtContent>
      <w:sdt>
        <w:sdtPr>
          <w:rPr>
            <w:rFonts w:ascii="Tahoma" w:hAnsi="Tahoma" w:cs="Tahoma"/>
            <w:sz w:val="16"/>
            <w:szCs w:val="16"/>
          </w:rPr>
          <w:id w:val="1728636285"/>
          <w:docPartObj>
            <w:docPartGallery w:val="Page Numbers (Top of Page)"/>
            <w:docPartUnique/>
          </w:docPartObj>
        </w:sdtPr>
        <w:sdtEndPr/>
        <w:sdtContent>
          <w:p w14:paraId="30EDF9A3" w14:textId="607B51A8" w:rsidR="00B847A2" w:rsidRPr="00B847A2" w:rsidRDefault="00B847A2">
            <w:pPr>
              <w:pStyle w:val="Footer"/>
              <w:jc w:val="center"/>
              <w:rPr>
                <w:rFonts w:ascii="Tahoma" w:hAnsi="Tahoma" w:cs="Tahoma"/>
                <w:sz w:val="16"/>
                <w:szCs w:val="16"/>
              </w:rPr>
            </w:pPr>
            <w:r w:rsidRPr="00B847A2">
              <w:rPr>
                <w:rFonts w:ascii="Tahoma" w:hAnsi="Tahoma" w:cs="Tahoma"/>
                <w:sz w:val="16"/>
                <w:szCs w:val="16"/>
              </w:rPr>
              <w:t xml:space="preserve">Page </w:t>
            </w:r>
            <w:r w:rsidRPr="00B847A2">
              <w:rPr>
                <w:rFonts w:ascii="Tahoma" w:hAnsi="Tahoma" w:cs="Tahoma"/>
                <w:b/>
                <w:bCs/>
                <w:sz w:val="16"/>
                <w:szCs w:val="16"/>
              </w:rPr>
              <w:fldChar w:fldCharType="begin"/>
            </w:r>
            <w:r w:rsidRPr="00B847A2">
              <w:rPr>
                <w:rFonts w:ascii="Tahoma" w:hAnsi="Tahoma" w:cs="Tahoma"/>
                <w:b/>
                <w:bCs/>
                <w:sz w:val="16"/>
                <w:szCs w:val="16"/>
              </w:rPr>
              <w:instrText xml:space="preserve"> PAGE </w:instrText>
            </w:r>
            <w:r w:rsidRPr="00B847A2">
              <w:rPr>
                <w:rFonts w:ascii="Tahoma" w:hAnsi="Tahoma" w:cs="Tahoma"/>
                <w:b/>
                <w:bCs/>
                <w:sz w:val="16"/>
                <w:szCs w:val="16"/>
              </w:rPr>
              <w:fldChar w:fldCharType="separate"/>
            </w:r>
            <w:r w:rsidRPr="00B847A2">
              <w:rPr>
                <w:rFonts w:ascii="Tahoma" w:hAnsi="Tahoma" w:cs="Tahoma"/>
                <w:b/>
                <w:bCs/>
                <w:noProof/>
                <w:sz w:val="16"/>
                <w:szCs w:val="16"/>
              </w:rPr>
              <w:t>2</w:t>
            </w:r>
            <w:r w:rsidRPr="00B847A2">
              <w:rPr>
                <w:rFonts w:ascii="Tahoma" w:hAnsi="Tahoma" w:cs="Tahoma"/>
                <w:b/>
                <w:bCs/>
                <w:sz w:val="16"/>
                <w:szCs w:val="16"/>
              </w:rPr>
              <w:fldChar w:fldCharType="end"/>
            </w:r>
            <w:r w:rsidRPr="00B847A2">
              <w:rPr>
                <w:rFonts w:ascii="Tahoma" w:hAnsi="Tahoma" w:cs="Tahoma"/>
                <w:sz w:val="16"/>
                <w:szCs w:val="16"/>
              </w:rPr>
              <w:t xml:space="preserve"> of </w:t>
            </w:r>
            <w:r w:rsidRPr="00B847A2">
              <w:rPr>
                <w:rFonts w:ascii="Tahoma" w:hAnsi="Tahoma" w:cs="Tahoma"/>
                <w:b/>
                <w:bCs/>
                <w:sz w:val="16"/>
                <w:szCs w:val="16"/>
              </w:rPr>
              <w:fldChar w:fldCharType="begin"/>
            </w:r>
            <w:r w:rsidRPr="00B847A2">
              <w:rPr>
                <w:rFonts w:ascii="Tahoma" w:hAnsi="Tahoma" w:cs="Tahoma"/>
                <w:b/>
                <w:bCs/>
                <w:sz w:val="16"/>
                <w:szCs w:val="16"/>
              </w:rPr>
              <w:instrText xml:space="preserve"> NUMPAGES  </w:instrText>
            </w:r>
            <w:r w:rsidRPr="00B847A2">
              <w:rPr>
                <w:rFonts w:ascii="Tahoma" w:hAnsi="Tahoma" w:cs="Tahoma"/>
                <w:b/>
                <w:bCs/>
                <w:sz w:val="16"/>
                <w:szCs w:val="16"/>
              </w:rPr>
              <w:fldChar w:fldCharType="separate"/>
            </w:r>
            <w:r w:rsidRPr="00B847A2">
              <w:rPr>
                <w:rFonts w:ascii="Tahoma" w:hAnsi="Tahoma" w:cs="Tahoma"/>
                <w:b/>
                <w:bCs/>
                <w:noProof/>
                <w:sz w:val="16"/>
                <w:szCs w:val="16"/>
              </w:rPr>
              <w:t>2</w:t>
            </w:r>
            <w:r w:rsidRPr="00B847A2">
              <w:rPr>
                <w:rFonts w:ascii="Tahoma" w:hAnsi="Tahoma" w:cs="Tahoma"/>
                <w:b/>
                <w:bCs/>
                <w:sz w:val="16"/>
                <w:szCs w:val="16"/>
              </w:rPr>
              <w:fldChar w:fldCharType="end"/>
            </w:r>
          </w:p>
        </w:sdtContent>
      </w:sdt>
    </w:sdtContent>
  </w:sdt>
  <w:p w14:paraId="18F2024E" w14:textId="20635C7A" w:rsidR="0060606E" w:rsidRPr="00B847A2" w:rsidRDefault="00B847A2" w:rsidP="0060606E">
    <w:pPr>
      <w:pStyle w:val="Footer"/>
      <w:ind w:right="-450"/>
      <w:jc w:val="right"/>
      <w:rPr>
        <w:rFonts w:ascii="Tahoma" w:hAnsi="Tahoma" w:cs="Tahoma"/>
        <w:sz w:val="18"/>
        <w:szCs w:val="18"/>
      </w:rPr>
    </w:pPr>
    <w:r w:rsidRPr="00B847A2">
      <w:rPr>
        <w:rFonts w:ascii="Tahoma" w:hAnsi="Tahoma" w:cs="Tahoma"/>
        <w:sz w:val="18"/>
        <w:szCs w:val="18"/>
      </w:rPr>
      <w:t>08/</w:t>
    </w:r>
    <w:r w:rsidR="0068571D">
      <w:rPr>
        <w:rFonts w:ascii="Tahoma" w:hAnsi="Tahoma" w:cs="Tahoma"/>
        <w:sz w:val="18"/>
        <w:szCs w:val="18"/>
      </w:rPr>
      <w:t>20</w:t>
    </w:r>
    <w:r w:rsidRPr="00B847A2">
      <w:rPr>
        <w:rFonts w:ascii="Tahoma" w:hAnsi="Tahoma" w:cs="Tahoma"/>
        <w:sz w:val="18"/>
        <w:szCs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0FC88" w14:textId="77777777" w:rsidR="009F0876" w:rsidRDefault="009F0876" w:rsidP="0060606E">
      <w:r>
        <w:separator/>
      </w:r>
    </w:p>
  </w:footnote>
  <w:footnote w:type="continuationSeparator" w:id="0">
    <w:p w14:paraId="3260B70F" w14:textId="77777777" w:rsidR="009F0876" w:rsidRDefault="009F0876" w:rsidP="00606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B149D"/>
    <w:multiLevelType w:val="hybridMultilevel"/>
    <w:tmpl w:val="D9C4B6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3141FAA"/>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AC94498"/>
    <w:multiLevelType w:val="hybridMultilevel"/>
    <w:tmpl w:val="A81849F2"/>
    <w:lvl w:ilvl="0" w:tplc="54909F7A">
      <w:start w:val="2"/>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D1F5F56"/>
    <w:multiLevelType w:val="hybridMultilevel"/>
    <w:tmpl w:val="50EAA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0132811"/>
    <w:multiLevelType w:val="multilevel"/>
    <w:tmpl w:val="AFECA16C"/>
    <w:lvl w:ilvl="0">
      <w:start w:val="1"/>
      <w:numFmt w:val="decimal"/>
      <w:lvlText w:val="%1."/>
      <w:lvlJc w:val="left"/>
      <w:pPr>
        <w:ind w:left="471" w:hanging="360"/>
      </w:pPr>
      <w:rPr>
        <w:rFonts w:hint="default"/>
      </w:rPr>
    </w:lvl>
    <w:lvl w:ilvl="1">
      <w:start w:val="1"/>
      <w:numFmt w:val="decimal"/>
      <w:isLgl/>
      <w:lvlText w:val="%1.%2"/>
      <w:lvlJc w:val="left"/>
      <w:pPr>
        <w:ind w:left="810" w:hanging="720"/>
      </w:pPr>
      <w:rPr>
        <w:rFonts w:hint="default"/>
        <w:b/>
        <w:bCs w:val="0"/>
      </w:rPr>
    </w:lvl>
    <w:lvl w:ilvl="2">
      <w:start w:val="1"/>
      <w:numFmt w:val="decimal"/>
      <w:isLgl/>
      <w:lvlText w:val="%1.%2.%3"/>
      <w:lvlJc w:val="left"/>
      <w:pPr>
        <w:ind w:left="831" w:hanging="720"/>
      </w:pPr>
      <w:rPr>
        <w:rFonts w:hint="default"/>
      </w:rPr>
    </w:lvl>
    <w:lvl w:ilvl="3">
      <w:start w:val="1"/>
      <w:numFmt w:val="decimal"/>
      <w:isLgl/>
      <w:lvlText w:val="%1.%2.%3.%4"/>
      <w:lvlJc w:val="left"/>
      <w:pPr>
        <w:ind w:left="1191" w:hanging="1080"/>
      </w:pPr>
      <w:rPr>
        <w:rFonts w:hint="default"/>
      </w:rPr>
    </w:lvl>
    <w:lvl w:ilvl="4">
      <w:start w:val="1"/>
      <w:numFmt w:val="decimal"/>
      <w:isLgl/>
      <w:lvlText w:val="%1.%2.%3.%4.%5"/>
      <w:lvlJc w:val="left"/>
      <w:pPr>
        <w:ind w:left="1551" w:hanging="1440"/>
      </w:pPr>
      <w:rPr>
        <w:rFonts w:hint="default"/>
      </w:rPr>
    </w:lvl>
    <w:lvl w:ilvl="5">
      <w:start w:val="1"/>
      <w:numFmt w:val="decimal"/>
      <w:isLgl/>
      <w:lvlText w:val="%1.%2.%3.%4.%5.%6"/>
      <w:lvlJc w:val="left"/>
      <w:pPr>
        <w:ind w:left="1551" w:hanging="1440"/>
      </w:pPr>
      <w:rPr>
        <w:rFonts w:hint="default"/>
      </w:rPr>
    </w:lvl>
    <w:lvl w:ilvl="6">
      <w:start w:val="1"/>
      <w:numFmt w:val="decimal"/>
      <w:isLgl/>
      <w:lvlText w:val="%1.%2.%3.%4.%5.%6.%7"/>
      <w:lvlJc w:val="left"/>
      <w:pPr>
        <w:ind w:left="1911" w:hanging="1800"/>
      </w:pPr>
      <w:rPr>
        <w:rFonts w:hint="default"/>
      </w:rPr>
    </w:lvl>
    <w:lvl w:ilvl="7">
      <w:start w:val="1"/>
      <w:numFmt w:val="decimal"/>
      <w:isLgl/>
      <w:lvlText w:val="%1.%2.%3.%4.%5.%6.%7.%8"/>
      <w:lvlJc w:val="left"/>
      <w:pPr>
        <w:ind w:left="2271" w:hanging="2160"/>
      </w:pPr>
      <w:rPr>
        <w:rFonts w:hint="default"/>
      </w:rPr>
    </w:lvl>
    <w:lvl w:ilvl="8">
      <w:start w:val="1"/>
      <w:numFmt w:val="decimal"/>
      <w:isLgl/>
      <w:lvlText w:val="%1.%2.%3.%4.%5.%6.%7.%8.%9"/>
      <w:lvlJc w:val="left"/>
      <w:pPr>
        <w:ind w:left="2631" w:hanging="2520"/>
      </w:pPr>
      <w:rPr>
        <w:rFonts w:hint="default"/>
      </w:rPr>
    </w:lvl>
  </w:abstractNum>
  <w:abstractNum w:abstractNumId="5" w15:restartNumberingAfterBreak="0">
    <w:nsid w:val="29D93728"/>
    <w:multiLevelType w:val="multilevel"/>
    <w:tmpl w:val="64849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B965F86"/>
    <w:multiLevelType w:val="hybridMultilevel"/>
    <w:tmpl w:val="D92C0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A604303"/>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A6B4D7F"/>
    <w:multiLevelType w:val="multilevel"/>
    <w:tmpl w:val="ABB24B34"/>
    <w:lvl w:ilvl="0">
      <w:start w:val="1"/>
      <w:numFmt w:val="decimal"/>
      <w:isLgl/>
      <w:lvlText w:val="%1"/>
      <w:lvlJc w:val="left"/>
      <w:pPr>
        <w:tabs>
          <w:tab w:val="num" w:pos="360"/>
        </w:tabs>
        <w:ind w:left="360" w:hanging="360"/>
      </w:pPr>
      <w:rPr>
        <w:rFonts w:ascii="Arial" w:hAnsi="Arial" w:hint="default"/>
        <w:b/>
        <w:i w:val="0"/>
        <w:sz w:val="22"/>
      </w:rPr>
    </w:lvl>
    <w:lvl w:ilvl="1">
      <w:start w:val="1"/>
      <w:numFmt w:val="decimal"/>
      <w:isLgl/>
      <w:lvlText w:val="%1.%2"/>
      <w:lvlJc w:val="left"/>
      <w:pPr>
        <w:tabs>
          <w:tab w:val="num" w:pos="1080"/>
        </w:tabs>
        <w:ind w:left="1080" w:hanging="720"/>
      </w:pPr>
      <w:rPr>
        <w:rFonts w:ascii="Arial" w:hAnsi="Arial" w:hint="default"/>
        <w:b/>
        <w:i w:val="0"/>
        <w:sz w:val="22"/>
      </w:rPr>
    </w:lvl>
    <w:lvl w:ilvl="2">
      <w:start w:val="1"/>
      <w:numFmt w:val="decimal"/>
      <w:pStyle w:val="Heading3"/>
      <w:isLgl/>
      <w:lvlText w:val="%1.%2.%3"/>
      <w:lvlJc w:val="left"/>
      <w:pPr>
        <w:tabs>
          <w:tab w:val="num" w:pos="1440"/>
        </w:tabs>
        <w:ind w:left="1440" w:hanging="720"/>
      </w:pPr>
      <w:rPr>
        <w:rFonts w:ascii="Arial" w:hAnsi="Arial" w:hint="default"/>
        <w:b/>
        <w:i w:val="0"/>
        <w:sz w:val="22"/>
      </w:rPr>
    </w:lvl>
    <w:lvl w:ilvl="3">
      <w:start w:val="1"/>
      <w:numFmt w:val="decimal"/>
      <w:pStyle w:val="Heading4"/>
      <w:isLgl/>
      <w:lvlText w:val="%1.%2.%3.%4"/>
      <w:lvlJc w:val="left"/>
      <w:pPr>
        <w:tabs>
          <w:tab w:val="num" w:pos="2160"/>
        </w:tabs>
        <w:ind w:left="2160" w:hanging="1080"/>
      </w:pPr>
      <w:rPr>
        <w:rFonts w:ascii="Arial" w:hAnsi="Arial" w:hint="default"/>
        <w:b/>
        <w:i w:val="0"/>
        <w:sz w:val="22"/>
      </w:rPr>
    </w:lvl>
    <w:lvl w:ilvl="4">
      <w:start w:val="1"/>
      <w:numFmt w:val="decimal"/>
      <w:isLgl/>
      <w:lvlText w:val="%1.%2.%3.%4.%5"/>
      <w:lvlJc w:val="left"/>
      <w:pPr>
        <w:tabs>
          <w:tab w:val="num" w:pos="2520"/>
        </w:tabs>
        <w:ind w:left="1728" w:hanging="288"/>
      </w:pPr>
      <w:rPr>
        <w:rFonts w:ascii="Arial" w:hAnsi="Arial" w:hint="default"/>
        <w:b/>
        <w:i w:val="0"/>
        <w:sz w:val="22"/>
      </w:rPr>
    </w:lvl>
    <w:lvl w:ilvl="5">
      <w:start w:val="1"/>
      <w:numFmt w:val="upperLetter"/>
      <w:lvlRestart w:val="1"/>
      <w:lvlText w:val="%6"/>
      <w:lvlJc w:val="left"/>
      <w:pPr>
        <w:tabs>
          <w:tab w:val="num" w:pos="360"/>
        </w:tabs>
        <w:ind w:left="360" w:hanging="360"/>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497B2AD7"/>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3131273"/>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50661D8"/>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6C39095E"/>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C9429F4"/>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8"/>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num>
  <w:num w:numId="7">
    <w:abstractNumId w:val="9"/>
  </w:num>
  <w:num w:numId="8">
    <w:abstractNumId w:val="10"/>
  </w:num>
  <w:num w:numId="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11"/>
  </w:num>
  <w:num w:numId="13">
    <w:abstractNumId w:val="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FD1"/>
    <w:rsid w:val="0007418C"/>
    <w:rsid w:val="000A5258"/>
    <w:rsid w:val="000C617A"/>
    <w:rsid w:val="000E01CB"/>
    <w:rsid w:val="000F61B4"/>
    <w:rsid w:val="001019D5"/>
    <w:rsid w:val="00114412"/>
    <w:rsid w:val="001365FE"/>
    <w:rsid w:val="001C2114"/>
    <w:rsid w:val="001E42B8"/>
    <w:rsid w:val="001F139F"/>
    <w:rsid w:val="00293FD1"/>
    <w:rsid w:val="00297C1C"/>
    <w:rsid w:val="002A45F5"/>
    <w:rsid w:val="002B427E"/>
    <w:rsid w:val="002D74E2"/>
    <w:rsid w:val="00312AAD"/>
    <w:rsid w:val="003A65CF"/>
    <w:rsid w:val="003B55CA"/>
    <w:rsid w:val="003B6A6D"/>
    <w:rsid w:val="003C7E3D"/>
    <w:rsid w:val="003D610F"/>
    <w:rsid w:val="00405DF8"/>
    <w:rsid w:val="00411287"/>
    <w:rsid w:val="0044234C"/>
    <w:rsid w:val="00454AAE"/>
    <w:rsid w:val="00473020"/>
    <w:rsid w:val="004A117E"/>
    <w:rsid w:val="004C1B3D"/>
    <w:rsid w:val="004C3AA9"/>
    <w:rsid w:val="00515C8F"/>
    <w:rsid w:val="0052511F"/>
    <w:rsid w:val="00530D82"/>
    <w:rsid w:val="00550377"/>
    <w:rsid w:val="00556CFC"/>
    <w:rsid w:val="00561AEA"/>
    <w:rsid w:val="00563A0F"/>
    <w:rsid w:val="005A3221"/>
    <w:rsid w:val="005E0931"/>
    <w:rsid w:val="005F0C07"/>
    <w:rsid w:val="0060606E"/>
    <w:rsid w:val="00620D52"/>
    <w:rsid w:val="00623B5D"/>
    <w:rsid w:val="00641169"/>
    <w:rsid w:val="006666E2"/>
    <w:rsid w:val="006849C6"/>
    <w:rsid w:val="0068571D"/>
    <w:rsid w:val="00692A22"/>
    <w:rsid w:val="006A33AB"/>
    <w:rsid w:val="006A6E3F"/>
    <w:rsid w:val="006C3F69"/>
    <w:rsid w:val="006F374E"/>
    <w:rsid w:val="006F4CD4"/>
    <w:rsid w:val="0070056D"/>
    <w:rsid w:val="007469F8"/>
    <w:rsid w:val="00752225"/>
    <w:rsid w:val="007540EE"/>
    <w:rsid w:val="007E7355"/>
    <w:rsid w:val="007E7B4B"/>
    <w:rsid w:val="007F4176"/>
    <w:rsid w:val="007F70CE"/>
    <w:rsid w:val="00844442"/>
    <w:rsid w:val="0086438B"/>
    <w:rsid w:val="00890E06"/>
    <w:rsid w:val="0090518D"/>
    <w:rsid w:val="009539C4"/>
    <w:rsid w:val="009D32FD"/>
    <w:rsid w:val="009E2029"/>
    <w:rsid w:val="009E56A5"/>
    <w:rsid w:val="009F0876"/>
    <w:rsid w:val="009F3AD0"/>
    <w:rsid w:val="00A1773D"/>
    <w:rsid w:val="00A94244"/>
    <w:rsid w:val="00A94AE2"/>
    <w:rsid w:val="00AF7C95"/>
    <w:rsid w:val="00B052A5"/>
    <w:rsid w:val="00B847A2"/>
    <w:rsid w:val="00BA10EB"/>
    <w:rsid w:val="00BB631D"/>
    <w:rsid w:val="00C16E4B"/>
    <w:rsid w:val="00C2418C"/>
    <w:rsid w:val="00C3352B"/>
    <w:rsid w:val="00C341CD"/>
    <w:rsid w:val="00C82BEB"/>
    <w:rsid w:val="00CB4459"/>
    <w:rsid w:val="00CF6889"/>
    <w:rsid w:val="00D31C9C"/>
    <w:rsid w:val="00D416DC"/>
    <w:rsid w:val="00D72A08"/>
    <w:rsid w:val="00DA4A24"/>
    <w:rsid w:val="00DB0122"/>
    <w:rsid w:val="00E06D6A"/>
    <w:rsid w:val="00E101DC"/>
    <w:rsid w:val="00E1180D"/>
    <w:rsid w:val="00E603D7"/>
    <w:rsid w:val="00E71780"/>
    <w:rsid w:val="00E85748"/>
    <w:rsid w:val="00E95E61"/>
    <w:rsid w:val="00EA2820"/>
    <w:rsid w:val="00EB72F2"/>
    <w:rsid w:val="00EE192E"/>
    <w:rsid w:val="00EF23DA"/>
    <w:rsid w:val="00EF4794"/>
    <w:rsid w:val="00F3394A"/>
    <w:rsid w:val="00F35F16"/>
    <w:rsid w:val="00F475AD"/>
    <w:rsid w:val="00F47D3C"/>
    <w:rsid w:val="00F73DB2"/>
    <w:rsid w:val="00F94DB7"/>
    <w:rsid w:val="00FC30B8"/>
    <w:rsid w:val="00FC5BE6"/>
    <w:rsid w:val="00FD79F1"/>
    <w:rsid w:val="00FF075C"/>
    <w:rsid w:val="00FF6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83D45"/>
  <w15:docId w15:val="{C6CE9876-FF59-43A8-8695-7A8C65281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225"/>
    <w:rPr>
      <w:rFonts w:ascii="Arial" w:hAnsi="Arial"/>
      <w:sz w:val="24"/>
      <w:szCs w:val="24"/>
    </w:rPr>
  </w:style>
  <w:style w:type="paragraph" w:styleId="Heading2">
    <w:name w:val="heading 2"/>
    <w:basedOn w:val="Normal"/>
    <w:next w:val="Normal"/>
    <w:link w:val="Heading2Char"/>
    <w:uiPriority w:val="9"/>
    <w:semiHidden/>
    <w:unhideWhenUsed/>
    <w:qFormat/>
    <w:rsid w:val="00E603D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752225"/>
    <w:pPr>
      <w:numPr>
        <w:ilvl w:val="2"/>
        <w:numId w:val="3"/>
      </w:numPr>
      <w:autoSpaceDE w:val="0"/>
      <w:autoSpaceDN w:val="0"/>
      <w:adjustRightInd w:val="0"/>
      <w:jc w:val="both"/>
      <w:outlineLvl w:val="2"/>
    </w:pPr>
    <w:rPr>
      <w:rFonts w:cs="Arial"/>
      <w:bCs/>
      <w:sz w:val="22"/>
      <w:szCs w:val="26"/>
    </w:rPr>
  </w:style>
  <w:style w:type="paragraph" w:styleId="Heading4">
    <w:name w:val="heading 4"/>
    <w:basedOn w:val="Normal"/>
    <w:next w:val="Normal"/>
    <w:qFormat/>
    <w:rsid w:val="00752225"/>
    <w:pPr>
      <w:keepNext/>
      <w:numPr>
        <w:ilvl w:val="3"/>
        <w:numId w:val="3"/>
      </w:numPr>
      <w:spacing w:before="240" w:after="60"/>
      <w:outlineLvl w:val="3"/>
    </w:pPr>
    <w:rPr>
      <w:rFonts w:ascii="Times New Roman" w:hAnsi="Times New Roman"/>
      <w:b/>
      <w:bCs/>
      <w:sz w:val="28"/>
      <w:szCs w:val="28"/>
    </w:rPr>
  </w:style>
  <w:style w:type="paragraph" w:styleId="Heading5">
    <w:name w:val="heading 5"/>
    <w:basedOn w:val="Heading4"/>
    <w:next w:val="Normal"/>
    <w:autoRedefine/>
    <w:qFormat/>
    <w:rsid w:val="00752225"/>
    <w:pPr>
      <w:widowControl w:val="0"/>
      <w:autoSpaceDE w:val="0"/>
      <w:autoSpaceDN w:val="0"/>
      <w:adjustRightInd w:val="0"/>
      <w:spacing w:before="0" w:after="0"/>
      <w:outlineLvl w:val="4"/>
    </w:pPr>
    <w:rPr>
      <w:rFonts w:ascii="Arial" w:hAnsi="Arial"/>
      <w:b w:val="0"/>
      <w:bCs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52225"/>
    <w:pPr>
      <w:jc w:val="center"/>
    </w:pPr>
    <w:rPr>
      <w:sz w:val="28"/>
      <w:u w:val="single"/>
    </w:rPr>
  </w:style>
  <w:style w:type="paragraph" w:styleId="BodyText">
    <w:name w:val="Body Text"/>
    <w:basedOn w:val="Normal"/>
    <w:semiHidden/>
    <w:rsid w:val="00752225"/>
    <w:pPr>
      <w:jc w:val="both"/>
    </w:pPr>
  </w:style>
  <w:style w:type="paragraph" w:styleId="BalloonText">
    <w:name w:val="Balloon Text"/>
    <w:basedOn w:val="Normal"/>
    <w:link w:val="BalloonTextChar"/>
    <w:uiPriority w:val="99"/>
    <w:semiHidden/>
    <w:unhideWhenUsed/>
    <w:rsid w:val="004423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34C"/>
    <w:rPr>
      <w:rFonts w:ascii="Segoe UI" w:hAnsi="Segoe UI" w:cs="Segoe UI"/>
      <w:sz w:val="18"/>
      <w:szCs w:val="18"/>
    </w:rPr>
  </w:style>
  <w:style w:type="paragraph" w:customStyle="1" w:styleId="Default">
    <w:name w:val="Default"/>
    <w:uiPriority w:val="99"/>
    <w:rsid w:val="00E1180D"/>
    <w:pPr>
      <w:autoSpaceDE w:val="0"/>
      <w:autoSpaceDN w:val="0"/>
      <w:adjustRightInd w:val="0"/>
    </w:pPr>
    <w:rPr>
      <w:rFonts w:ascii="Tahoma" w:hAnsi="Tahoma" w:cs="Tahoma"/>
      <w:color w:val="000000"/>
      <w:sz w:val="24"/>
      <w:szCs w:val="24"/>
    </w:rPr>
  </w:style>
  <w:style w:type="paragraph" w:styleId="Header">
    <w:name w:val="header"/>
    <w:basedOn w:val="Normal"/>
    <w:link w:val="HeaderChar"/>
    <w:uiPriority w:val="99"/>
    <w:unhideWhenUsed/>
    <w:rsid w:val="0060606E"/>
    <w:pPr>
      <w:tabs>
        <w:tab w:val="center" w:pos="4680"/>
        <w:tab w:val="right" w:pos="9360"/>
      </w:tabs>
    </w:pPr>
  </w:style>
  <w:style w:type="character" w:customStyle="1" w:styleId="HeaderChar">
    <w:name w:val="Header Char"/>
    <w:basedOn w:val="DefaultParagraphFont"/>
    <w:link w:val="Header"/>
    <w:uiPriority w:val="99"/>
    <w:rsid w:val="0060606E"/>
    <w:rPr>
      <w:rFonts w:ascii="Arial" w:hAnsi="Arial"/>
      <w:sz w:val="24"/>
      <w:szCs w:val="24"/>
    </w:rPr>
  </w:style>
  <w:style w:type="paragraph" w:styleId="Footer">
    <w:name w:val="footer"/>
    <w:basedOn w:val="Normal"/>
    <w:link w:val="FooterChar"/>
    <w:uiPriority w:val="99"/>
    <w:unhideWhenUsed/>
    <w:rsid w:val="0060606E"/>
    <w:pPr>
      <w:tabs>
        <w:tab w:val="center" w:pos="4680"/>
        <w:tab w:val="right" w:pos="9360"/>
      </w:tabs>
    </w:pPr>
  </w:style>
  <w:style w:type="character" w:customStyle="1" w:styleId="FooterChar">
    <w:name w:val="Footer Char"/>
    <w:basedOn w:val="DefaultParagraphFont"/>
    <w:link w:val="Footer"/>
    <w:uiPriority w:val="99"/>
    <w:rsid w:val="0060606E"/>
    <w:rPr>
      <w:rFonts w:ascii="Arial" w:hAnsi="Arial"/>
      <w:sz w:val="24"/>
      <w:szCs w:val="24"/>
    </w:rPr>
  </w:style>
  <w:style w:type="character" w:styleId="Hyperlink">
    <w:name w:val="Hyperlink"/>
    <w:basedOn w:val="DefaultParagraphFont"/>
    <w:uiPriority w:val="99"/>
    <w:unhideWhenUsed/>
    <w:rsid w:val="00E101DC"/>
    <w:rPr>
      <w:color w:val="0000FF" w:themeColor="hyperlink"/>
      <w:u w:val="single"/>
    </w:rPr>
  </w:style>
  <w:style w:type="paragraph" w:styleId="Revision">
    <w:name w:val="Revision"/>
    <w:hidden/>
    <w:uiPriority w:val="99"/>
    <w:semiHidden/>
    <w:rsid w:val="005A3221"/>
    <w:rPr>
      <w:rFonts w:ascii="Arial" w:hAnsi="Arial"/>
      <w:sz w:val="24"/>
      <w:szCs w:val="24"/>
    </w:rPr>
  </w:style>
  <w:style w:type="character" w:styleId="UnresolvedMention">
    <w:name w:val="Unresolved Mention"/>
    <w:basedOn w:val="DefaultParagraphFont"/>
    <w:uiPriority w:val="99"/>
    <w:semiHidden/>
    <w:unhideWhenUsed/>
    <w:rsid w:val="00DB0122"/>
    <w:rPr>
      <w:color w:val="605E5C"/>
      <w:shd w:val="clear" w:color="auto" w:fill="E1DFDD"/>
    </w:rPr>
  </w:style>
  <w:style w:type="paragraph" w:styleId="ListParagraph">
    <w:name w:val="List Paragraph"/>
    <w:basedOn w:val="Normal"/>
    <w:uiPriority w:val="34"/>
    <w:qFormat/>
    <w:rsid w:val="00F94DB7"/>
    <w:pPr>
      <w:ind w:left="720"/>
    </w:pPr>
    <w:rPr>
      <w:rFonts w:ascii="Calibri" w:eastAsiaTheme="minorHAnsi" w:hAnsi="Calibri" w:cs="Calibri"/>
      <w:sz w:val="22"/>
      <w:szCs w:val="22"/>
    </w:rPr>
  </w:style>
  <w:style w:type="paragraph" w:styleId="NormalWeb">
    <w:name w:val="Normal (Web)"/>
    <w:basedOn w:val="Normal"/>
    <w:uiPriority w:val="99"/>
    <w:semiHidden/>
    <w:unhideWhenUsed/>
    <w:rsid w:val="00E71780"/>
    <w:pPr>
      <w:spacing w:before="100" w:beforeAutospacing="1" w:after="100" w:afterAutospacing="1"/>
    </w:pPr>
    <w:rPr>
      <w:rFonts w:ascii="Calibri" w:eastAsiaTheme="minorHAnsi" w:hAnsi="Calibri" w:cs="Calibri"/>
      <w:sz w:val="22"/>
      <w:szCs w:val="22"/>
    </w:rPr>
  </w:style>
  <w:style w:type="character" w:customStyle="1" w:styleId="apple-converted-space">
    <w:name w:val="apple-converted-space"/>
    <w:basedOn w:val="DefaultParagraphFont"/>
    <w:rsid w:val="00E71780"/>
  </w:style>
  <w:style w:type="character" w:customStyle="1" w:styleId="Heading2Char">
    <w:name w:val="Heading 2 Char"/>
    <w:basedOn w:val="DefaultParagraphFont"/>
    <w:link w:val="Heading2"/>
    <w:uiPriority w:val="9"/>
    <w:semiHidden/>
    <w:rsid w:val="00E603D7"/>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E603D7"/>
    <w:pPr>
      <w:widowControl w:val="0"/>
    </w:pPr>
    <w:rPr>
      <w:rFonts w:asciiTheme="minorHAnsi" w:eastAsiaTheme="minorHAnsi" w:hAnsiTheme="minorHAnsi" w:cstheme="minorBidi"/>
      <w:sz w:val="22"/>
      <w:szCs w:val="22"/>
    </w:rPr>
  </w:style>
  <w:style w:type="table" w:styleId="TableGrid">
    <w:name w:val="Table Grid"/>
    <w:basedOn w:val="TableNormal"/>
    <w:uiPriority w:val="59"/>
    <w:rsid w:val="00E60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05DF8"/>
    <w:rPr>
      <w:rFonts w:ascii="Calibri" w:eastAsiaTheme="minorHAnsi" w:hAnsi="Calibri" w:cs="Calibri"/>
      <w:sz w:val="22"/>
      <w:szCs w:val="22"/>
    </w:rPr>
  </w:style>
  <w:style w:type="paragraph" w:styleId="NoSpacing">
    <w:name w:val="No Spacing"/>
    <w:uiPriority w:val="1"/>
    <w:qFormat/>
    <w:rsid w:val="00405DF8"/>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38113">
      <w:bodyDiv w:val="1"/>
      <w:marLeft w:val="0"/>
      <w:marRight w:val="0"/>
      <w:marTop w:val="0"/>
      <w:marBottom w:val="0"/>
      <w:divBdr>
        <w:top w:val="none" w:sz="0" w:space="0" w:color="auto"/>
        <w:left w:val="none" w:sz="0" w:space="0" w:color="auto"/>
        <w:bottom w:val="none" w:sz="0" w:space="0" w:color="auto"/>
        <w:right w:val="none" w:sz="0" w:space="0" w:color="auto"/>
      </w:divBdr>
    </w:div>
    <w:div w:id="99106615">
      <w:bodyDiv w:val="1"/>
      <w:marLeft w:val="0"/>
      <w:marRight w:val="0"/>
      <w:marTop w:val="0"/>
      <w:marBottom w:val="0"/>
      <w:divBdr>
        <w:top w:val="none" w:sz="0" w:space="0" w:color="auto"/>
        <w:left w:val="none" w:sz="0" w:space="0" w:color="auto"/>
        <w:bottom w:val="none" w:sz="0" w:space="0" w:color="auto"/>
        <w:right w:val="none" w:sz="0" w:space="0" w:color="auto"/>
      </w:divBdr>
    </w:div>
    <w:div w:id="102579353">
      <w:bodyDiv w:val="1"/>
      <w:marLeft w:val="0"/>
      <w:marRight w:val="0"/>
      <w:marTop w:val="0"/>
      <w:marBottom w:val="0"/>
      <w:divBdr>
        <w:top w:val="none" w:sz="0" w:space="0" w:color="auto"/>
        <w:left w:val="none" w:sz="0" w:space="0" w:color="auto"/>
        <w:bottom w:val="none" w:sz="0" w:space="0" w:color="auto"/>
        <w:right w:val="none" w:sz="0" w:space="0" w:color="auto"/>
      </w:divBdr>
    </w:div>
    <w:div w:id="112095690">
      <w:bodyDiv w:val="1"/>
      <w:marLeft w:val="0"/>
      <w:marRight w:val="0"/>
      <w:marTop w:val="0"/>
      <w:marBottom w:val="0"/>
      <w:divBdr>
        <w:top w:val="none" w:sz="0" w:space="0" w:color="auto"/>
        <w:left w:val="none" w:sz="0" w:space="0" w:color="auto"/>
        <w:bottom w:val="none" w:sz="0" w:space="0" w:color="auto"/>
        <w:right w:val="none" w:sz="0" w:space="0" w:color="auto"/>
      </w:divBdr>
    </w:div>
    <w:div w:id="218782455">
      <w:bodyDiv w:val="1"/>
      <w:marLeft w:val="0"/>
      <w:marRight w:val="0"/>
      <w:marTop w:val="0"/>
      <w:marBottom w:val="0"/>
      <w:divBdr>
        <w:top w:val="none" w:sz="0" w:space="0" w:color="auto"/>
        <w:left w:val="none" w:sz="0" w:space="0" w:color="auto"/>
        <w:bottom w:val="none" w:sz="0" w:space="0" w:color="auto"/>
        <w:right w:val="none" w:sz="0" w:space="0" w:color="auto"/>
      </w:divBdr>
    </w:div>
    <w:div w:id="391318221">
      <w:bodyDiv w:val="1"/>
      <w:marLeft w:val="0"/>
      <w:marRight w:val="0"/>
      <w:marTop w:val="0"/>
      <w:marBottom w:val="0"/>
      <w:divBdr>
        <w:top w:val="none" w:sz="0" w:space="0" w:color="auto"/>
        <w:left w:val="none" w:sz="0" w:space="0" w:color="auto"/>
        <w:bottom w:val="none" w:sz="0" w:space="0" w:color="auto"/>
        <w:right w:val="none" w:sz="0" w:space="0" w:color="auto"/>
      </w:divBdr>
    </w:div>
    <w:div w:id="476457701">
      <w:bodyDiv w:val="1"/>
      <w:marLeft w:val="0"/>
      <w:marRight w:val="0"/>
      <w:marTop w:val="0"/>
      <w:marBottom w:val="0"/>
      <w:divBdr>
        <w:top w:val="none" w:sz="0" w:space="0" w:color="auto"/>
        <w:left w:val="none" w:sz="0" w:space="0" w:color="auto"/>
        <w:bottom w:val="none" w:sz="0" w:space="0" w:color="auto"/>
        <w:right w:val="none" w:sz="0" w:space="0" w:color="auto"/>
      </w:divBdr>
    </w:div>
    <w:div w:id="535046817">
      <w:bodyDiv w:val="1"/>
      <w:marLeft w:val="0"/>
      <w:marRight w:val="0"/>
      <w:marTop w:val="0"/>
      <w:marBottom w:val="0"/>
      <w:divBdr>
        <w:top w:val="none" w:sz="0" w:space="0" w:color="auto"/>
        <w:left w:val="none" w:sz="0" w:space="0" w:color="auto"/>
        <w:bottom w:val="none" w:sz="0" w:space="0" w:color="auto"/>
        <w:right w:val="none" w:sz="0" w:space="0" w:color="auto"/>
      </w:divBdr>
    </w:div>
    <w:div w:id="659650081">
      <w:bodyDiv w:val="1"/>
      <w:marLeft w:val="0"/>
      <w:marRight w:val="0"/>
      <w:marTop w:val="0"/>
      <w:marBottom w:val="0"/>
      <w:divBdr>
        <w:top w:val="none" w:sz="0" w:space="0" w:color="auto"/>
        <w:left w:val="none" w:sz="0" w:space="0" w:color="auto"/>
        <w:bottom w:val="none" w:sz="0" w:space="0" w:color="auto"/>
        <w:right w:val="none" w:sz="0" w:space="0" w:color="auto"/>
      </w:divBdr>
    </w:div>
    <w:div w:id="704714160">
      <w:bodyDiv w:val="1"/>
      <w:marLeft w:val="0"/>
      <w:marRight w:val="0"/>
      <w:marTop w:val="0"/>
      <w:marBottom w:val="0"/>
      <w:divBdr>
        <w:top w:val="none" w:sz="0" w:space="0" w:color="auto"/>
        <w:left w:val="none" w:sz="0" w:space="0" w:color="auto"/>
        <w:bottom w:val="none" w:sz="0" w:space="0" w:color="auto"/>
        <w:right w:val="none" w:sz="0" w:space="0" w:color="auto"/>
      </w:divBdr>
    </w:div>
    <w:div w:id="809588571">
      <w:bodyDiv w:val="1"/>
      <w:marLeft w:val="0"/>
      <w:marRight w:val="0"/>
      <w:marTop w:val="0"/>
      <w:marBottom w:val="0"/>
      <w:divBdr>
        <w:top w:val="none" w:sz="0" w:space="0" w:color="auto"/>
        <w:left w:val="none" w:sz="0" w:space="0" w:color="auto"/>
        <w:bottom w:val="none" w:sz="0" w:space="0" w:color="auto"/>
        <w:right w:val="none" w:sz="0" w:space="0" w:color="auto"/>
      </w:divBdr>
    </w:div>
    <w:div w:id="821502320">
      <w:bodyDiv w:val="1"/>
      <w:marLeft w:val="0"/>
      <w:marRight w:val="0"/>
      <w:marTop w:val="0"/>
      <w:marBottom w:val="0"/>
      <w:divBdr>
        <w:top w:val="none" w:sz="0" w:space="0" w:color="auto"/>
        <w:left w:val="none" w:sz="0" w:space="0" w:color="auto"/>
        <w:bottom w:val="none" w:sz="0" w:space="0" w:color="auto"/>
        <w:right w:val="none" w:sz="0" w:space="0" w:color="auto"/>
      </w:divBdr>
    </w:div>
    <w:div w:id="918096075">
      <w:bodyDiv w:val="1"/>
      <w:marLeft w:val="0"/>
      <w:marRight w:val="0"/>
      <w:marTop w:val="0"/>
      <w:marBottom w:val="0"/>
      <w:divBdr>
        <w:top w:val="none" w:sz="0" w:space="0" w:color="auto"/>
        <w:left w:val="none" w:sz="0" w:space="0" w:color="auto"/>
        <w:bottom w:val="none" w:sz="0" w:space="0" w:color="auto"/>
        <w:right w:val="none" w:sz="0" w:space="0" w:color="auto"/>
      </w:divBdr>
    </w:div>
    <w:div w:id="944843942">
      <w:bodyDiv w:val="1"/>
      <w:marLeft w:val="0"/>
      <w:marRight w:val="0"/>
      <w:marTop w:val="0"/>
      <w:marBottom w:val="0"/>
      <w:divBdr>
        <w:top w:val="none" w:sz="0" w:space="0" w:color="auto"/>
        <w:left w:val="none" w:sz="0" w:space="0" w:color="auto"/>
        <w:bottom w:val="none" w:sz="0" w:space="0" w:color="auto"/>
        <w:right w:val="none" w:sz="0" w:space="0" w:color="auto"/>
      </w:divBdr>
    </w:div>
    <w:div w:id="1136869588">
      <w:bodyDiv w:val="1"/>
      <w:marLeft w:val="0"/>
      <w:marRight w:val="0"/>
      <w:marTop w:val="0"/>
      <w:marBottom w:val="0"/>
      <w:divBdr>
        <w:top w:val="none" w:sz="0" w:space="0" w:color="auto"/>
        <w:left w:val="none" w:sz="0" w:space="0" w:color="auto"/>
        <w:bottom w:val="none" w:sz="0" w:space="0" w:color="auto"/>
        <w:right w:val="none" w:sz="0" w:space="0" w:color="auto"/>
      </w:divBdr>
    </w:div>
    <w:div w:id="1189872287">
      <w:bodyDiv w:val="1"/>
      <w:marLeft w:val="0"/>
      <w:marRight w:val="0"/>
      <w:marTop w:val="0"/>
      <w:marBottom w:val="0"/>
      <w:divBdr>
        <w:top w:val="none" w:sz="0" w:space="0" w:color="auto"/>
        <w:left w:val="none" w:sz="0" w:space="0" w:color="auto"/>
        <w:bottom w:val="none" w:sz="0" w:space="0" w:color="auto"/>
        <w:right w:val="none" w:sz="0" w:space="0" w:color="auto"/>
      </w:divBdr>
    </w:div>
    <w:div w:id="1228492007">
      <w:bodyDiv w:val="1"/>
      <w:marLeft w:val="0"/>
      <w:marRight w:val="0"/>
      <w:marTop w:val="0"/>
      <w:marBottom w:val="0"/>
      <w:divBdr>
        <w:top w:val="none" w:sz="0" w:space="0" w:color="auto"/>
        <w:left w:val="none" w:sz="0" w:space="0" w:color="auto"/>
        <w:bottom w:val="none" w:sz="0" w:space="0" w:color="auto"/>
        <w:right w:val="none" w:sz="0" w:space="0" w:color="auto"/>
      </w:divBdr>
    </w:div>
    <w:div w:id="1298147179">
      <w:bodyDiv w:val="1"/>
      <w:marLeft w:val="0"/>
      <w:marRight w:val="0"/>
      <w:marTop w:val="0"/>
      <w:marBottom w:val="0"/>
      <w:divBdr>
        <w:top w:val="none" w:sz="0" w:space="0" w:color="auto"/>
        <w:left w:val="none" w:sz="0" w:space="0" w:color="auto"/>
        <w:bottom w:val="none" w:sz="0" w:space="0" w:color="auto"/>
        <w:right w:val="none" w:sz="0" w:space="0" w:color="auto"/>
      </w:divBdr>
    </w:div>
    <w:div w:id="1416127464">
      <w:bodyDiv w:val="1"/>
      <w:marLeft w:val="0"/>
      <w:marRight w:val="0"/>
      <w:marTop w:val="0"/>
      <w:marBottom w:val="0"/>
      <w:divBdr>
        <w:top w:val="none" w:sz="0" w:space="0" w:color="auto"/>
        <w:left w:val="none" w:sz="0" w:space="0" w:color="auto"/>
        <w:bottom w:val="none" w:sz="0" w:space="0" w:color="auto"/>
        <w:right w:val="none" w:sz="0" w:space="0" w:color="auto"/>
      </w:divBdr>
    </w:div>
    <w:div w:id="1433163869">
      <w:bodyDiv w:val="1"/>
      <w:marLeft w:val="0"/>
      <w:marRight w:val="0"/>
      <w:marTop w:val="0"/>
      <w:marBottom w:val="0"/>
      <w:divBdr>
        <w:top w:val="none" w:sz="0" w:space="0" w:color="auto"/>
        <w:left w:val="none" w:sz="0" w:space="0" w:color="auto"/>
        <w:bottom w:val="none" w:sz="0" w:space="0" w:color="auto"/>
        <w:right w:val="none" w:sz="0" w:space="0" w:color="auto"/>
      </w:divBdr>
    </w:div>
    <w:div w:id="1436369387">
      <w:bodyDiv w:val="1"/>
      <w:marLeft w:val="0"/>
      <w:marRight w:val="0"/>
      <w:marTop w:val="0"/>
      <w:marBottom w:val="0"/>
      <w:divBdr>
        <w:top w:val="none" w:sz="0" w:space="0" w:color="auto"/>
        <w:left w:val="none" w:sz="0" w:space="0" w:color="auto"/>
        <w:bottom w:val="none" w:sz="0" w:space="0" w:color="auto"/>
        <w:right w:val="none" w:sz="0" w:space="0" w:color="auto"/>
      </w:divBdr>
    </w:div>
    <w:div w:id="1619874408">
      <w:bodyDiv w:val="1"/>
      <w:marLeft w:val="0"/>
      <w:marRight w:val="0"/>
      <w:marTop w:val="0"/>
      <w:marBottom w:val="0"/>
      <w:divBdr>
        <w:top w:val="none" w:sz="0" w:space="0" w:color="auto"/>
        <w:left w:val="none" w:sz="0" w:space="0" w:color="auto"/>
        <w:bottom w:val="none" w:sz="0" w:space="0" w:color="auto"/>
        <w:right w:val="none" w:sz="0" w:space="0" w:color="auto"/>
      </w:divBdr>
    </w:div>
    <w:div w:id="1711614933">
      <w:bodyDiv w:val="1"/>
      <w:marLeft w:val="0"/>
      <w:marRight w:val="0"/>
      <w:marTop w:val="0"/>
      <w:marBottom w:val="0"/>
      <w:divBdr>
        <w:top w:val="none" w:sz="0" w:space="0" w:color="auto"/>
        <w:left w:val="none" w:sz="0" w:space="0" w:color="auto"/>
        <w:bottom w:val="none" w:sz="0" w:space="0" w:color="auto"/>
        <w:right w:val="none" w:sz="0" w:space="0" w:color="auto"/>
      </w:divBdr>
    </w:div>
    <w:div w:id="1742412710">
      <w:bodyDiv w:val="1"/>
      <w:marLeft w:val="0"/>
      <w:marRight w:val="0"/>
      <w:marTop w:val="0"/>
      <w:marBottom w:val="0"/>
      <w:divBdr>
        <w:top w:val="none" w:sz="0" w:space="0" w:color="auto"/>
        <w:left w:val="none" w:sz="0" w:space="0" w:color="auto"/>
        <w:bottom w:val="none" w:sz="0" w:space="0" w:color="auto"/>
        <w:right w:val="none" w:sz="0" w:space="0" w:color="auto"/>
      </w:divBdr>
    </w:div>
    <w:div w:id="1831367376">
      <w:bodyDiv w:val="1"/>
      <w:marLeft w:val="0"/>
      <w:marRight w:val="0"/>
      <w:marTop w:val="0"/>
      <w:marBottom w:val="0"/>
      <w:divBdr>
        <w:top w:val="none" w:sz="0" w:space="0" w:color="auto"/>
        <w:left w:val="none" w:sz="0" w:space="0" w:color="auto"/>
        <w:bottom w:val="none" w:sz="0" w:space="0" w:color="auto"/>
        <w:right w:val="none" w:sz="0" w:space="0" w:color="auto"/>
      </w:divBdr>
    </w:div>
    <w:div w:id="1848405127">
      <w:bodyDiv w:val="1"/>
      <w:marLeft w:val="0"/>
      <w:marRight w:val="0"/>
      <w:marTop w:val="0"/>
      <w:marBottom w:val="0"/>
      <w:divBdr>
        <w:top w:val="none" w:sz="0" w:space="0" w:color="auto"/>
        <w:left w:val="none" w:sz="0" w:space="0" w:color="auto"/>
        <w:bottom w:val="none" w:sz="0" w:space="0" w:color="auto"/>
        <w:right w:val="none" w:sz="0" w:space="0" w:color="auto"/>
      </w:divBdr>
    </w:div>
    <w:div w:id="1881478544">
      <w:bodyDiv w:val="1"/>
      <w:marLeft w:val="0"/>
      <w:marRight w:val="0"/>
      <w:marTop w:val="0"/>
      <w:marBottom w:val="0"/>
      <w:divBdr>
        <w:top w:val="none" w:sz="0" w:space="0" w:color="auto"/>
        <w:left w:val="none" w:sz="0" w:space="0" w:color="auto"/>
        <w:bottom w:val="none" w:sz="0" w:space="0" w:color="auto"/>
        <w:right w:val="none" w:sz="0" w:space="0" w:color="auto"/>
      </w:divBdr>
    </w:div>
    <w:div w:id="1970626078">
      <w:bodyDiv w:val="1"/>
      <w:marLeft w:val="0"/>
      <w:marRight w:val="0"/>
      <w:marTop w:val="0"/>
      <w:marBottom w:val="0"/>
      <w:divBdr>
        <w:top w:val="none" w:sz="0" w:space="0" w:color="auto"/>
        <w:left w:val="none" w:sz="0" w:space="0" w:color="auto"/>
        <w:bottom w:val="none" w:sz="0" w:space="0" w:color="auto"/>
        <w:right w:val="none" w:sz="0" w:space="0" w:color="auto"/>
      </w:divBdr>
    </w:div>
    <w:div w:id="2004965268">
      <w:bodyDiv w:val="1"/>
      <w:marLeft w:val="0"/>
      <w:marRight w:val="0"/>
      <w:marTop w:val="0"/>
      <w:marBottom w:val="0"/>
      <w:divBdr>
        <w:top w:val="none" w:sz="0" w:space="0" w:color="auto"/>
        <w:left w:val="none" w:sz="0" w:space="0" w:color="auto"/>
        <w:bottom w:val="none" w:sz="0" w:space="0" w:color="auto"/>
        <w:right w:val="none" w:sz="0" w:space="0" w:color="auto"/>
      </w:divBdr>
    </w:div>
    <w:div w:id="2006742841">
      <w:bodyDiv w:val="1"/>
      <w:marLeft w:val="0"/>
      <w:marRight w:val="0"/>
      <w:marTop w:val="0"/>
      <w:marBottom w:val="0"/>
      <w:divBdr>
        <w:top w:val="none" w:sz="0" w:space="0" w:color="auto"/>
        <w:left w:val="none" w:sz="0" w:space="0" w:color="auto"/>
        <w:bottom w:val="none" w:sz="0" w:space="0" w:color="auto"/>
        <w:right w:val="none" w:sz="0" w:space="0" w:color="auto"/>
      </w:divBdr>
    </w:div>
    <w:div w:id="2042899787">
      <w:bodyDiv w:val="1"/>
      <w:marLeft w:val="0"/>
      <w:marRight w:val="0"/>
      <w:marTop w:val="0"/>
      <w:marBottom w:val="0"/>
      <w:divBdr>
        <w:top w:val="none" w:sz="0" w:space="0" w:color="auto"/>
        <w:left w:val="none" w:sz="0" w:space="0" w:color="auto"/>
        <w:bottom w:val="none" w:sz="0" w:space="0" w:color="auto"/>
        <w:right w:val="none" w:sz="0" w:space="0" w:color="auto"/>
      </w:divBdr>
    </w:div>
    <w:div w:id="2043940569">
      <w:bodyDiv w:val="1"/>
      <w:marLeft w:val="0"/>
      <w:marRight w:val="0"/>
      <w:marTop w:val="0"/>
      <w:marBottom w:val="0"/>
      <w:divBdr>
        <w:top w:val="none" w:sz="0" w:space="0" w:color="auto"/>
        <w:left w:val="none" w:sz="0" w:space="0" w:color="auto"/>
        <w:bottom w:val="none" w:sz="0" w:space="0" w:color="auto"/>
        <w:right w:val="none" w:sz="0" w:space="0" w:color="auto"/>
      </w:divBdr>
    </w:div>
    <w:div w:id="2065980231">
      <w:bodyDiv w:val="1"/>
      <w:marLeft w:val="0"/>
      <w:marRight w:val="0"/>
      <w:marTop w:val="0"/>
      <w:marBottom w:val="0"/>
      <w:divBdr>
        <w:top w:val="none" w:sz="0" w:space="0" w:color="auto"/>
        <w:left w:val="none" w:sz="0" w:space="0" w:color="auto"/>
        <w:bottom w:val="none" w:sz="0" w:space="0" w:color="auto"/>
        <w:right w:val="none" w:sz="0" w:space="0" w:color="auto"/>
      </w:divBdr>
    </w:div>
    <w:div w:id="2084595245">
      <w:bodyDiv w:val="1"/>
      <w:marLeft w:val="0"/>
      <w:marRight w:val="0"/>
      <w:marTop w:val="0"/>
      <w:marBottom w:val="0"/>
      <w:divBdr>
        <w:top w:val="none" w:sz="0" w:space="0" w:color="auto"/>
        <w:left w:val="none" w:sz="0" w:space="0" w:color="auto"/>
        <w:bottom w:val="none" w:sz="0" w:space="0" w:color="auto"/>
        <w:right w:val="none" w:sz="0" w:space="0" w:color="auto"/>
      </w:divBdr>
    </w:div>
    <w:div w:id="211289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ighered.texas.gov/about-us/procurement/" TargetMode="External"/><Relationship Id="rId13" Type="http://schemas.openxmlformats.org/officeDocument/2006/relationships/hyperlink" Target="https://gov.texas.gov/news/post/governor-abbott-announces-additional-118-million-in-federal-funding-to-support-texas-higher-educat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gov.texas.gov/news/post/governor-abbott-allocates-emergency-education-relief-funding-for-texas-higher-educat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s@highered.texas.gov" TargetMode="External"/><Relationship Id="rId5" Type="http://schemas.openxmlformats.org/officeDocument/2006/relationships/footnotes" Target="footnotes.xml"/><Relationship Id="rId15" Type="http://schemas.openxmlformats.org/officeDocument/2006/relationships/hyperlink" Target="https://fmx.cpa.texas.gov/fmx/finrpt/singleaudit/index.php" TargetMode="Externa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ecfr.gov/cgi-bin/text-idx?node=sp2.1.200.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1505</Words>
  <Characters>8583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NON-DISCLOSURE STATEMENT</vt:lpstr>
    </vt:vector>
  </TitlesOfParts>
  <Company>.</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NON-DISCLOSURE STATEMENT</dc:title>
  <dc:subject/>
  <dc:creator>DobrichJN</dc:creator>
  <cp:keywords/>
  <dc:description/>
  <cp:lastModifiedBy>Contreras, Kammi</cp:lastModifiedBy>
  <cp:revision>2</cp:revision>
  <cp:lastPrinted>2019-02-11T16:37:00Z</cp:lastPrinted>
  <dcterms:created xsi:type="dcterms:W3CDTF">2020-08-20T18:43:00Z</dcterms:created>
  <dcterms:modified xsi:type="dcterms:W3CDTF">2020-08-20T18:43:00Z</dcterms:modified>
</cp:coreProperties>
</file>